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Times New Roman" w:hAnsi="Times New Roman" w:eastAsia="方正小标宋简体" w:cs="Times New Roman"/>
          <w:bCs/>
          <w:color w:val="000000" w:themeColor="text1"/>
          <w:sz w:val="32"/>
          <w:szCs w:val="32"/>
          <w:lang w:eastAsia="zh-CN"/>
          <w14:textFill>
            <w14:solidFill>
              <w14:schemeClr w14:val="tx1"/>
            </w14:solidFill>
          </w14:textFill>
        </w:rPr>
      </w:pPr>
      <w:r>
        <w:rPr>
          <w:rFonts w:ascii="Times New Roman" w:hAnsi="Times New Roman" w:eastAsia="方正小标宋简体" w:cs="Times New Roman"/>
          <w:bCs/>
          <w:color w:val="000000" w:themeColor="text1"/>
          <w:sz w:val="32"/>
          <w:szCs w:val="32"/>
          <w:lang w:eastAsia="zh-CN"/>
          <w14:textFill>
            <w14:solidFill>
              <w14:schemeClr w14:val="tx1"/>
            </w14:solidFill>
          </w14:textFill>
        </w:rPr>
        <w:t>202</w:t>
      </w:r>
      <w:r>
        <w:rPr>
          <w:rFonts w:hint="eastAsia" w:ascii="Times New Roman" w:hAnsi="Times New Roman" w:eastAsia="方正小标宋简体" w:cs="Times New Roman"/>
          <w:bCs/>
          <w:color w:val="000000" w:themeColor="text1"/>
          <w:sz w:val="32"/>
          <w:szCs w:val="32"/>
          <w:lang w:eastAsia="zh-CN"/>
          <w14:textFill>
            <w14:solidFill>
              <w14:schemeClr w14:val="tx1"/>
            </w14:solidFill>
          </w14:textFill>
        </w:rPr>
        <w:t>4</w:t>
      </w:r>
      <w:r>
        <w:rPr>
          <w:rFonts w:ascii="Times New Roman" w:hAnsi="Times New Roman" w:eastAsia="方正小标宋简体" w:cs="Times New Roman"/>
          <w:bCs/>
          <w:color w:val="000000" w:themeColor="text1"/>
          <w:sz w:val="32"/>
          <w:szCs w:val="32"/>
          <w:lang w:eastAsia="zh-CN"/>
          <w14:textFill>
            <w14:solidFill>
              <w14:schemeClr w14:val="tx1"/>
            </w14:solidFill>
          </w14:textFill>
        </w:rPr>
        <w:t>年</w:t>
      </w:r>
      <w:r>
        <w:rPr>
          <w:rFonts w:hint="eastAsia" w:ascii="Times New Roman" w:hAnsi="Times New Roman" w:eastAsia="方正小标宋简体" w:cs="Times New Roman"/>
          <w:bCs/>
          <w:color w:val="000000" w:themeColor="text1"/>
          <w:sz w:val="32"/>
          <w:szCs w:val="32"/>
          <w:lang w:eastAsia="zh-CN"/>
          <w14:textFill>
            <w14:solidFill>
              <w14:schemeClr w14:val="tx1"/>
            </w14:solidFill>
          </w14:textFill>
        </w:rPr>
        <w:t>云南省</w:t>
      </w:r>
      <w:r>
        <w:rPr>
          <w:rFonts w:ascii="Times New Roman" w:hAnsi="Times New Roman" w:eastAsia="方正小标宋简体" w:cs="Times New Roman"/>
          <w:bCs/>
          <w:color w:val="000000" w:themeColor="text1"/>
          <w:sz w:val="32"/>
          <w:szCs w:val="32"/>
          <w:lang w:eastAsia="zh-CN"/>
          <w14:textFill>
            <w14:solidFill>
              <w14:schemeClr w14:val="tx1"/>
            </w14:solidFill>
          </w14:textFill>
        </w:rPr>
        <w:t>絮用纤维制品产品质量监督抽查实施细则</w:t>
      </w:r>
    </w:p>
    <w:p>
      <w:pPr>
        <w:adjustRightInd w:val="0"/>
        <w:snapToGrid w:val="0"/>
        <w:spacing w:line="500" w:lineRule="exact"/>
        <w:ind w:firstLine="420" w:firstLineChars="200"/>
        <w:rPr>
          <w:rFonts w:ascii="Times New Roman" w:hAnsi="Times New Roman" w:eastAsiaTheme="minorEastAsia"/>
          <w:bCs/>
          <w:szCs w:val="21"/>
        </w:rPr>
      </w:pPr>
    </w:p>
    <w:p>
      <w:pPr>
        <w:adjustRightInd w:val="0"/>
        <w:snapToGrid w:val="0"/>
        <w:spacing w:line="500" w:lineRule="exact"/>
        <w:ind w:firstLine="420" w:firstLineChars="200"/>
        <w:rPr>
          <w:rFonts w:ascii="Times New Roman" w:hAnsi="Times New Roman" w:eastAsiaTheme="minorEastAsia"/>
          <w:bCs/>
          <w:szCs w:val="21"/>
        </w:rPr>
      </w:pPr>
      <w:r>
        <w:rPr>
          <w:rFonts w:ascii="Times New Roman" w:hAnsi="Times New Roman" w:eastAsiaTheme="minorEastAsia"/>
          <w:bCs/>
          <w:szCs w:val="21"/>
        </w:rPr>
        <w:t>本细则适用</w:t>
      </w:r>
      <w:r>
        <w:rPr>
          <w:rFonts w:hint="eastAsia" w:ascii="Times New Roman" w:hAnsi="Times New Roman" w:eastAsiaTheme="minorEastAsia"/>
          <w:szCs w:val="21"/>
        </w:rPr>
        <w:t>云南省纤维检验局</w:t>
      </w:r>
      <w:r>
        <w:rPr>
          <w:rFonts w:ascii="Times New Roman" w:hAnsi="Times New Roman" w:eastAsiaTheme="minorEastAsia"/>
          <w:bCs/>
          <w:szCs w:val="21"/>
        </w:rPr>
        <w:t>组织的絮用纤维制品产品质量监督抽查。本细则规定了此产品的抽样方法、检验依据、判定</w:t>
      </w:r>
      <w:r>
        <w:rPr>
          <w:rFonts w:hint="eastAsia" w:ascii="Times New Roman" w:hAnsi="Times New Roman" w:eastAsiaTheme="minorEastAsia"/>
          <w:bCs/>
          <w:szCs w:val="21"/>
        </w:rPr>
        <w:t>规</w:t>
      </w:r>
      <w:r>
        <w:rPr>
          <w:rFonts w:ascii="Times New Roman" w:hAnsi="Times New Roman" w:eastAsiaTheme="minorEastAsia"/>
          <w:bCs/>
          <w:szCs w:val="21"/>
        </w:rPr>
        <w:t>则、异议处理、附则等。</w:t>
      </w:r>
    </w:p>
    <w:p>
      <w:pPr>
        <w:adjustRightInd w:val="0"/>
        <w:snapToGrid w:val="0"/>
        <w:spacing w:line="500" w:lineRule="exact"/>
        <w:rPr>
          <w:rFonts w:ascii="黑体" w:hAnsi="黑体" w:eastAsia="黑体" w:cs="黑体"/>
          <w:szCs w:val="21"/>
        </w:rPr>
      </w:pPr>
      <w:r>
        <w:rPr>
          <w:rFonts w:hint="eastAsia" w:ascii="黑体" w:hAnsi="黑体" w:eastAsia="黑体" w:cs="黑体"/>
          <w:szCs w:val="21"/>
        </w:rPr>
        <w:t>1抽样方法</w:t>
      </w:r>
    </w:p>
    <w:p>
      <w:pPr>
        <w:pStyle w:val="4"/>
        <w:adjustRightInd w:val="0"/>
        <w:snapToGrid w:val="0"/>
        <w:spacing w:before="0" w:after="0" w:line="500" w:lineRule="exact"/>
        <w:ind w:firstLine="420" w:firstLineChars="200"/>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抽样型号或规格：根据产品的销售单元（件、条）抽取相同款式（货号或款号）和相同颜色的同一批次的产品。</w:t>
      </w:r>
    </w:p>
    <w:p>
      <w:pPr>
        <w:adjustRightInd w:val="0"/>
        <w:snapToGrid w:val="0"/>
        <w:spacing w:line="500" w:lineRule="exact"/>
        <w:ind w:firstLine="420" w:firstLineChars="200"/>
        <w:rPr>
          <w:rFonts w:ascii="Times New Roman" w:hAnsi="Times New Roman" w:eastAsiaTheme="minorEastAsia"/>
          <w:szCs w:val="21"/>
        </w:rPr>
      </w:pPr>
      <w:r>
        <w:rPr>
          <w:rFonts w:ascii="Times New Roman" w:hAnsi="Times New Roman" w:eastAsiaTheme="minorEastAsia"/>
          <w:szCs w:val="21"/>
        </w:rPr>
        <w:t>以随机抽样的方式在被抽样生产者、销售者</w:t>
      </w:r>
      <w:r>
        <w:rPr>
          <w:rFonts w:ascii="Times New Roman" w:hAnsi="Times New Roman" w:eastAsiaTheme="minorEastAsia"/>
          <w:szCs w:val="21"/>
        </w:rPr>
        <w:t>的待销产品</w:t>
      </w:r>
      <w:r>
        <w:rPr>
          <w:rFonts w:hint="eastAsia" w:ascii="Times New Roman" w:hAnsi="Times New Roman" w:eastAsiaTheme="minorEastAsia"/>
          <w:szCs w:val="21"/>
          <w:lang w:eastAsia="zh-CN"/>
        </w:rPr>
        <w:t>和使用者的待使用产品</w:t>
      </w:r>
      <w:bookmarkStart w:id="0" w:name="_GoBack"/>
      <w:bookmarkEnd w:id="0"/>
      <w:r>
        <w:rPr>
          <w:rFonts w:ascii="Times New Roman" w:hAnsi="Times New Roman" w:eastAsiaTheme="minorEastAsia"/>
          <w:szCs w:val="21"/>
        </w:rPr>
        <w:t>中抽取。</w:t>
      </w:r>
    </w:p>
    <w:p>
      <w:pPr>
        <w:adjustRightInd w:val="0"/>
        <w:snapToGrid w:val="0"/>
        <w:spacing w:line="500" w:lineRule="exact"/>
        <w:ind w:firstLine="420" w:firstLineChars="200"/>
        <w:rPr>
          <w:rFonts w:ascii="Times New Roman" w:hAnsi="Times New Roman" w:eastAsiaTheme="minorEastAsia"/>
          <w:szCs w:val="21"/>
        </w:rPr>
      </w:pPr>
      <w:r>
        <w:rPr>
          <w:rFonts w:ascii="Times New Roman" w:hAnsi="Times New Roman" w:eastAsiaTheme="minorEastAsia"/>
          <w:szCs w:val="21"/>
        </w:rPr>
        <w:t>随机数一般可使用随机数表等方法产生。</w:t>
      </w:r>
    </w:p>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表1</w:t>
      </w:r>
      <w:r>
        <w:rPr>
          <w:rFonts w:hint="eastAsia"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抽样数量</w:t>
      </w:r>
    </w:p>
    <w:tbl>
      <w:tblPr>
        <w:tblStyle w:val="9"/>
        <w:tblW w:w="8693" w:type="dxa"/>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7"/>
        <w:gridCol w:w="1395"/>
        <w:gridCol w:w="1984"/>
        <w:gridCol w:w="1904"/>
        <w:gridCol w:w="1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2" w:type="dxa"/>
            <w:gridSpan w:val="2"/>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产品</w:t>
            </w:r>
          </w:p>
        </w:tc>
        <w:tc>
          <w:tcPr>
            <w:tcW w:w="1984"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抽样数量</w:t>
            </w:r>
          </w:p>
        </w:tc>
        <w:tc>
          <w:tcPr>
            <w:tcW w:w="1904"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检验样品数量</w:t>
            </w:r>
          </w:p>
        </w:tc>
        <w:tc>
          <w:tcPr>
            <w:tcW w:w="1913"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Merge w:val="restart"/>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絮用纤维制品</w:t>
            </w:r>
          </w:p>
        </w:tc>
        <w:tc>
          <w:tcPr>
            <w:tcW w:w="1395"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被类</w:t>
            </w:r>
          </w:p>
        </w:tc>
        <w:tc>
          <w:tcPr>
            <w:tcW w:w="1984"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2件/条</w:t>
            </w:r>
          </w:p>
        </w:tc>
        <w:tc>
          <w:tcPr>
            <w:tcW w:w="1904"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1件/条</w:t>
            </w:r>
          </w:p>
        </w:tc>
        <w:tc>
          <w:tcPr>
            <w:tcW w:w="1913"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1件/条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Merge w:val="continue"/>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p>
        </w:tc>
        <w:tc>
          <w:tcPr>
            <w:tcW w:w="1395"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褥类</w:t>
            </w:r>
          </w:p>
        </w:tc>
        <w:tc>
          <w:tcPr>
            <w:tcW w:w="1984"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2件/条</w:t>
            </w:r>
          </w:p>
        </w:tc>
        <w:tc>
          <w:tcPr>
            <w:tcW w:w="1904"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1件/条</w:t>
            </w:r>
          </w:p>
        </w:tc>
        <w:tc>
          <w:tcPr>
            <w:tcW w:w="1913"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1件/条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Merge w:val="continue"/>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p>
        </w:tc>
        <w:tc>
          <w:tcPr>
            <w:tcW w:w="1395"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棉胎</w:t>
            </w:r>
          </w:p>
        </w:tc>
        <w:tc>
          <w:tcPr>
            <w:tcW w:w="1984"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2件/条</w:t>
            </w:r>
          </w:p>
        </w:tc>
        <w:tc>
          <w:tcPr>
            <w:tcW w:w="1904"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1件/条</w:t>
            </w:r>
          </w:p>
        </w:tc>
        <w:tc>
          <w:tcPr>
            <w:tcW w:w="1913" w:type="dxa"/>
            <w:vAlign w:val="center"/>
          </w:tcPr>
          <w:p>
            <w:pPr>
              <w:pStyle w:val="4"/>
              <w:adjustRightInd w:val="0"/>
              <w:snapToGrid w:val="0"/>
              <w:spacing w:before="0" w:after="0" w:line="500" w:lineRule="exact"/>
              <w:jc w:val="cente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1件/条</w:t>
            </w:r>
          </w:p>
        </w:tc>
      </w:tr>
    </w:tbl>
    <w:p>
      <w:pPr>
        <w:adjustRightInd w:val="0"/>
        <w:snapToGrid w:val="0"/>
        <w:spacing w:line="500" w:lineRule="exact"/>
        <w:rPr>
          <w:rFonts w:ascii="Times New Roman" w:hAnsi="Times New Roman" w:eastAsiaTheme="minorEastAsia"/>
          <w:szCs w:val="21"/>
        </w:rPr>
      </w:pPr>
      <w:r>
        <w:rPr>
          <w:rFonts w:ascii="Times New Roman" w:hAnsi="Times New Roman" w:eastAsiaTheme="minorEastAsia"/>
          <w:szCs w:val="21"/>
        </w:rPr>
        <w:t>注：如样品过小，根据检验需要，可适当增加抽样数量。</w:t>
      </w:r>
    </w:p>
    <w:p>
      <w:pPr>
        <w:adjustRightInd w:val="0"/>
        <w:snapToGrid w:val="0"/>
        <w:spacing w:line="500" w:lineRule="exact"/>
        <w:rPr>
          <w:rFonts w:ascii="黑体" w:hAnsi="黑体" w:eastAsia="黑体" w:cs="黑体"/>
          <w:szCs w:val="21"/>
        </w:rPr>
      </w:pPr>
      <w:r>
        <w:rPr>
          <w:rFonts w:hint="eastAsia" w:ascii="黑体" w:hAnsi="黑体" w:eastAsia="黑体" w:cs="黑体"/>
          <w:szCs w:val="21"/>
        </w:rPr>
        <w:t>2检验依据</w:t>
      </w:r>
    </w:p>
    <w:p>
      <w:pPr>
        <w:adjustRightInd w:val="0"/>
        <w:snapToGrid w:val="0"/>
        <w:spacing w:line="500" w:lineRule="exact"/>
        <w:ind w:firstLine="420" w:firstLineChars="200"/>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表2</w:t>
      </w:r>
      <w:r>
        <w:rPr>
          <w:rFonts w:hint="eastAsia" w:ascii="Times New Roman" w:hAnsi="Times New Roman" w:eastAsiaTheme="minorEastAsia"/>
          <w:color w:val="000000" w:themeColor="text1"/>
          <w:szCs w:val="21"/>
          <w14:textFill>
            <w14:solidFill>
              <w14:schemeClr w14:val="tx1"/>
            </w14:solidFill>
          </w14:textFill>
        </w:rPr>
        <w:t xml:space="preserve"> </w:t>
      </w:r>
      <w:r>
        <w:rPr>
          <w:rFonts w:ascii="Times New Roman" w:hAnsi="Times New Roman" w:eastAsiaTheme="minorEastAsia"/>
          <w:color w:val="000000" w:themeColor="text1"/>
          <w:szCs w:val="21"/>
          <w14:textFill>
            <w14:solidFill>
              <w14:schemeClr w14:val="tx1"/>
            </w14:solidFill>
          </w14:textFill>
        </w:rPr>
        <w:t>絮用纤维制品检验项目</w:t>
      </w:r>
    </w:p>
    <w:tbl>
      <w:tblPr>
        <w:tblStyle w:val="9"/>
        <w:tblpPr w:leftFromText="180" w:rightFromText="180" w:vertAnchor="text" w:horzAnchor="margin" w:tblpXSpec="center" w:tblpY="139"/>
        <w:tblOverlap w:val="never"/>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1680"/>
        <w:gridCol w:w="2410"/>
        <w:gridCol w:w="2126"/>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序号</w:t>
            </w:r>
          </w:p>
        </w:tc>
        <w:tc>
          <w:tcPr>
            <w:tcW w:w="168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检验项目</w:t>
            </w:r>
          </w:p>
        </w:tc>
        <w:tc>
          <w:tcPr>
            <w:tcW w:w="241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检验方法标准</w:t>
            </w:r>
          </w:p>
        </w:tc>
        <w:tc>
          <w:tcPr>
            <w:tcW w:w="2126"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判定依据</w:t>
            </w:r>
          </w:p>
        </w:tc>
        <w:tc>
          <w:tcPr>
            <w:tcW w:w="1985"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1</w:t>
            </w:r>
          </w:p>
        </w:tc>
        <w:tc>
          <w:tcPr>
            <w:tcW w:w="168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填充物纤维</w:t>
            </w:r>
            <w:r>
              <w:rPr>
                <w:rFonts w:ascii="Times New Roman" w:hAnsi="Times New Roman" w:eastAsiaTheme="minorEastAsia"/>
                <w:color w:val="000000" w:themeColor="text1"/>
                <w:szCs w:val="21"/>
                <w14:textFill>
                  <w14:solidFill>
                    <w14:schemeClr w14:val="tx1"/>
                  </w14:solidFill>
                </w14:textFill>
              </w:rPr>
              <w:t>含量</w:t>
            </w:r>
          </w:p>
        </w:tc>
        <w:tc>
          <w:tcPr>
            <w:tcW w:w="2410" w:type="dxa"/>
            <w:vAlign w:val="center"/>
          </w:tcPr>
          <w:p>
            <w:pPr>
              <w:adjustRightInd w:val="0"/>
              <w:snapToGrid w:val="0"/>
              <w:jc w:val="center"/>
              <w:rPr>
                <w:rFonts w:hint="eastAsia"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FZ/T</w:t>
            </w:r>
            <w:r>
              <w:rPr>
                <w:rFonts w:hint="eastAsia" w:ascii="Times New Roman" w:hAnsi="Times New Roman" w:eastAsiaTheme="minorEastAsia"/>
                <w:color w:val="000000" w:themeColor="text1"/>
                <w:szCs w:val="21"/>
                <w14:textFill>
                  <w14:solidFill>
                    <w14:schemeClr w14:val="tx1"/>
                  </w14:solidFill>
                </w14:textFill>
              </w:rPr>
              <w:t xml:space="preserve"> </w:t>
            </w:r>
            <w:r>
              <w:rPr>
                <w:rFonts w:ascii="Times New Roman" w:hAnsi="Times New Roman" w:eastAsiaTheme="minorEastAsia"/>
                <w:color w:val="000000" w:themeColor="text1"/>
                <w:szCs w:val="21"/>
                <w14:textFill>
                  <w14:solidFill>
                    <w14:schemeClr w14:val="tx1"/>
                  </w14:solidFill>
                </w14:textFill>
              </w:rPr>
              <w:t>01057.2</w:t>
            </w:r>
            <w:r>
              <w:rPr>
                <w:rFonts w:ascii="Times New Roman" w:hAnsi="Times New Roman" w:eastAsiaTheme="minorEastAsia"/>
                <w:color w:val="000000"/>
                <w:kern w:val="0"/>
                <w:szCs w:val="21"/>
              </w:rPr>
              <w:t>～</w:t>
            </w:r>
            <w:r>
              <w:rPr>
                <w:rFonts w:ascii="Times New Roman" w:hAnsi="Times New Roman" w:eastAsiaTheme="minorEastAsia"/>
                <w:color w:val="000000" w:themeColor="text1"/>
                <w:szCs w:val="21"/>
                <w14:textFill>
                  <w14:solidFill>
                    <w14:schemeClr w14:val="tx1"/>
                  </w14:solidFill>
                </w14:textFill>
              </w:rPr>
              <w:t>4</w:t>
            </w:r>
          </w:p>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GB/T</w:t>
            </w:r>
            <w:r>
              <w:rPr>
                <w:rFonts w:hint="eastAsia" w:ascii="Times New Roman" w:hAnsi="Times New Roman" w:eastAsiaTheme="minorEastAsia"/>
                <w:color w:val="000000" w:themeColor="text1"/>
                <w:szCs w:val="21"/>
                <w14:textFill>
                  <w14:solidFill>
                    <w14:schemeClr w14:val="tx1"/>
                  </w14:solidFill>
                </w14:textFill>
              </w:rPr>
              <w:t xml:space="preserve"> </w:t>
            </w:r>
            <w:r>
              <w:rPr>
                <w:rFonts w:ascii="Times New Roman" w:hAnsi="Times New Roman" w:eastAsiaTheme="minorEastAsia"/>
                <w:color w:val="000000" w:themeColor="text1"/>
                <w:szCs w:val="21"/>
                <w14:textFill>
                  <w14:solidFill>
                    <w14:schemeClr w14:val="tx1"/>
                  </w14:solidFill>
                </w14:textFill>
              </w:rPr>
              <w:t>2910（所有部分）</w:t>
            </w:r>
          </w:p>
          <w:p>
            <w:pPr>
              <w:adjustRightInd w:val="0"/>
              <w:snapToGrid w:val="0"/>
              <w:jc w:val="center"/>
              <w:rPr>
                <w:rFonts w:hint="eastAsia"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FZ/T</w:t>
            </w:r>
            <w:r>
              <w:rPr>
                <w:rFonts w:hint="eastAsia" w:ascii="Times New Roman" w:hAnsi="Times New Roman" w:eastAsiaTheme="minorEastAsia"/>
                <w:color w:val="000000" w:themeColor="text1"/>
                <w:szCs w:val="21"/>
                <w14:textFill>
                  <w14:solidFill>
                    <w14:schemeClr w14:val="tx1"/>
                  </w14:solidFill>
                </w14:textFill>
              </w:rPr>
              <w:t xml:space="preserve"> </w:t>
            </w:r>
            <w:r>
              <w:rPr>
                <w:rFonts w:ascii="Times New Roman" w:hAnsi="Times New Roman" w:eastAsiaTheme="minorEastAsia"/>
                <w:color w:val="000000" w:themeColor="text1"/>
                <w:szCs w:val="21"/>
                <w14:textFill>
                  <w14:solidFill>
                    <w14:schemeClr w14:val="tx1"/>
                  </w14:solidFill>
                </w14:textFill>
              </w:rPr>
              <w:t>01026</w:t>
            </w:r>
          </w:p>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FZ/T</w:t>
            </w:r>
            <w:r>
              <w:rPr>
                <w:rFonts w:hint="eastAsia" w:ascii="Times New Roman" w:hAnsi="Times New Roman" w:eastAsiaTheme="minorEastAsia"/>
                <w:color w:val="000000" w:themeColor="text1"/>
                <w:szCs w:val="21"/>
                <w14:textFill>
                  <w14:solidFill>
                    <w14:schemeClr w14:val="tx1"/>
                  </w14:solidFill>
                </w14:textFill>
              </w:rPr>
              <w:t xml:space="preserve"> </w:t>
            </w:r>
            <w:r>
              <w:rPr>
                <w:rFonts w:ascii="Times New Roman" w:hAnsi="Times New Roman" w:eastAsiaTheme="minorEastAsia"/>
                <w:color w:val="000000" w:themeColor="text1"/>
                <w:szCs w:val="21"/>
                <w14:textFill>
                  <w14:solidFill>
                    <w14:schemeClr w14:val="tx1"/>
                  </w14:solidFill>
                </w14:textFill>
              </w:rPr>
              <w:t>01095</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szCs w:val="21"/>
              </w:rPr>
              <w:t>GB/T</w:t>
            </w:r>
            <w:r>
              <w:rPr>
                <w:rFonts w:hint="eastAsia" w:ascii="Times New Roman" w:hAnsi="Times New Roman" w:eastAsiaTheme="minorEastAsia"/>
                <w:color w:val="000000"/>
                <w:szCs w:val="21"/>
              </w:rPr>
              <w:t xml:space="preserve"> </w:t>
            </w:r>
            <w:r>
              <w:rPr>
                <w:rFonts w:ascii="Times New Roman" w:hAnsi="Times New Roman" w:eastAsiaTheme="minorEastAsia"/>
                <w:color w:val="000000"/>
                <w:szCs w:val="21"/>
              </w:rPr>
              <w:t>29862-2013</w:t>
            </w:r>
          </w:p>
        </w:tc>
        <w:tc>
          <w:tcPr>
            <w:tcW w:w="1985"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有填充物的做此项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2</w:t>
            </w:r>
          </w:p>
        </w:tc>
        <w:tc>
          <w:tcPr>
            <w:tcW w:w="1680" w:type="dxa"/>
            <w:vAlign w:val="center"/>
          </w:tcPr>
          <w:p>
            <w:pPr>
              <w:adjustRightInd w:val="0"/>
              <w:snapToGrid w:val="0"/>
              <w:spacing w:line="4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填充原料</w:t>
            </w:r>
            <w:r>
              <w:rPr>
                <w:rFonts w:ascii="Times New Roman" w:hAnsi="Times New Roman" w:eastAsiaTheme="minorEastAsia"/>
                <w:color w:val="000000" w:themeColor="text1"/>
                <w:szCs w:val="21"/>
                <w14:textFill>
                  <w14:solidFill>
                    <w14:schemeClr w14:val="tx1"/>
                  </w14:solidFill>
                </w14:textFill>
              </w:rPr>
              <w:t>要求</w:t>
            </w:r>
          </w:p>
        </w:tc>
        <w:tc>
          <w:tcPr>
            <w:tcW w:w="2410" w:type="dxa"/>
            <w:vAlign w:val="center"/>
          </w:tcPr>
          <w:p>
            <w:pPr>
              <w:adjustRightInd w:val="0"/>
              <w:snapToGrid w:val="0"/>
              <w:spacing w:line="4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GB18383</w:t>
            </w:r>
          </w:p>
        </w:tc>
        <w:tc>
          <w:tcPr>
            <w:tcW w:w="2126" w:type="dxa"/>
            <w:vAlign w:val="center"/>
          </w:tcPr>
          <w:p>
            <w:pPr>
              <w:adjustRightInd w:val="0"/>
              <w:snapToGrid w:val="0"/>
              <w:spacing w:line="4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GB18383</w:t>
            </w:r>
            <w:r>
              <w:rPr>
                <w:rFonts w:hint="eastAsia" w:ascii="Times New Roman" w:hAnsi="Times New Roman" w:eastAsiaTheme="minorEastAsia"/>
                <w:color w:val="000000" w:themeColor="text1"/>
                <w:szCs w:val="21"/>
                <w14:textFill>
                  <w14:solidFill>
                    <w14:schemeClr w14:val="tx1"/>
                  </w14:solidFill>
                </w14:textFill>
              </w:rPr>
              <w:t>-2007</w:t>
            </w:r>
          </w:p>
        </w:tc>
        <w:tc>
          <w:tcPr>
            <w:tcW w:w="1985" w:type="dxa"/>
            <w:vAlign w:val="center"/>
          </w:tcPr>
          <w:p>
            <w:pPr>
              <w:adjustRightInd w:val="0"/>
              <w:snapToGrid w:val="0"/>
              <w:spacing w:line="4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有填充物的做此项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3</w:t>
            </w:r>
          </w:p>
        </w:tc>
        <w:tc>
          <w:tcPr>
            <w:tcW w:w="168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梳棉颜色级</w:t>
            </w:r>
          </w:p>
        </w:tc>
        <w:tc>
          <w:tcPr>
            <w:tcW w:w="2410"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 1103.1</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35932-2018</w:t>
            </w:r>
          </w:p>
        </w:tc>
        <w:tc>
          <w:tcPr>
            <w:tcW w:w="1985" w:type="dxa"/>
            <w:vMerge w:val="restart"/>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纯棉梳棉胎做此项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4</w:t>
            </w:r>
          </w:p>
        </w:tc>
        <w:tc>
          <w:tcPr>
            <w:tcW w:w="168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kern w:val="0"/>
                <w:szCs w:val="21"/>
              </w:rPr>
              <w:t>含杂率</w:t>
            </w:r>
          </w:p>
        </w:tc>
        <w:tc>
          <w:tcPr>
            <w:tcW w:w="2410"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GB18383</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35932-2018</w:t>
            </w:r>
          </w:p>
        </w:tc>
        <w:tc>
          <w:tcPr>
            <w:tcW w:w="1985" w:type="dxa"/>
            <w:vMerge w:val="continue"/>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5</w:t>
            </w:r>
          </w:p>
        </w:tc>
        <w:tc>
          <w:tcPr>
            <w:tcW w:w="168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短纤维含量</w:t>
            </w:r>
          </w:p>
        </w:tc>
        <w:tc>
          <w:tcPr>
            <w:tcW w:w="2410"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6498</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35932-2018</w:t>
            </w:r>
          </w:p>
        </w:tc>
        <w:tc>
          <w:tcPr>
            <w:tcW w:w="1985" w:type="dxa"/>
            <w:vMerge w:val="continue"/>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6</w:t>
            </w:r>
          </w:p>
        </w:tc>
        <w:tc>
          <w:tcPr>
            <w:tcW w:w="168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马克隆值分档</w:t>
            </w:r>
          </w:p>
        </w:tc>
        <w:tc>
          <w:tcPr>
            <w:tcW w:w="2410"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GB18383</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35932-2018</w:t>
            </w:r>
          </w:p>
        </w:tc>
        <w:tc>
          <w:tcPr>
            <w:tcW w:w="1985" w:type="dxa"/>
            <w:vMerge w:val="continue"/>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7</w:t>
            </w:r>
          </w:p>
        </w:tc>
        <w:tc>
          <w:tcPr>
            <w:tcW w:w="1680" w:type="dxa"/>
            <w:vAlign w:val="center"/>
          </w:tcPr>
          <w:p>
            <w:pPr>
              <w:adjustRightInd w:val="0"/>
              <w:snapToGrid w:val="0"/>
              <w:spacing w:line="4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棉胎级别综合判定</w:t>
            </w:r>
          </w:p>
        </w:tc>
        <w:tc>
          <w:tcPr>
            <w:tcW w:w="2410"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35932</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35932-2018</w:t>
            </w:r>
          </w:p>
        </w:tc>
        <w:tc>
          <w:tcPr>
            <w:tcW w:w="1985" w:type="dxa"/>
            <w:vMerge w:val="continue"/>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8</w:t>
            </w:r>
          </w:p>
        </w:tc>
        <w:tc>
          <w:tcPr>
            <w:tcW w:w="168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甲醛含量</w:t>
            </w:r>
          </w:p>
        </w:tc>
        <w:tc>
          <w:tcPr>
            <w:tcW w:w="2410"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2912.1</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 18401-2010</w:t>
            </w:r>
          </w:p>
        </w:tc>
        <w:tc>
          <w:tcPr>
            <w:tcW w:w="1985" w:type="dxa"/>
            <w:vMerge w:val="restart"/>
            <w:vAlign w:val="center"/>
          </w:tcPr>
          <w:p>
            <w:pPr>
              <w:adjustRightInd w:val="0"/>
              <w:snapToGrid w:val="0"/>
              <w:spacing w:line="500" w:lineRule="exact"/>
              <w:jc w:val="center"/>
              <w:rPr>
                <w:rFonts w:hint="eastAsia" w:ascii="Times New Roman" w:hAnsi="Times New Roman" w:eastAsiaTheme="minorEastAsia"/>
                <w:color w:val="000000" w:themeColor="text1"/>
                <w:szCs w:val="21"/>
                <w14:textFill>
                  <w14:solidFill>
                    <w14:schemeClr w14:val="tx1"/>
                  </w14:solidFill>
                </w14:textFill>
              </w:rPr>
            </w:pPr>
          </w:p>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带面料的做此项</w:t>
            </w:r>
          </w:p>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仅考核面料</w:t>
            </w:r>
          </w:p>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9</w:t>
            </w:r>
          </w:p>
        </w:tc>
        <w:tc>
          <w:tcPr>
            <w:tcW w:w="168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PH值</w:t>
            </w:r>
          </w:p>
        </w:tc>
        <w:tc>
          <w:tcPr>
            <w:tcW w:w="2410"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7573</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 18401-2010</w:t>
            </w:r>
          </w:p>
        </w:tc>
        <w:tc>
          <w:tcPr>
            <w:tcW w:w="1985" w:type="dxa"/>
            <w:vMerge w:val="continue"/>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10</w:t>
            </w:r>
          </w:p>
        </w:tc>
        <w:tc>
          <w:tcPr>
            <w:tcW w:w="1680" w:type="dxa"/>
            <w:vAlign w:val="center"/>
          </w:tcPr>
          <w:p>
            <w:pPr>
              <w:adjustRightInd w:val="0"/>
              <w:snapToGrid w:val="0"/>
              <w:spacing w:line="38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耐干摩擦色牢度</w:t>
            </w:r>
          </w:p>
        </w:tc>
        <w:tc>
          <w:tcPr>
            <w:tcW w:w="2410"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3920</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 18401-2010</w:t>
            </w:r>
          </w:p>
        </w:tc>
        <w:tc>
          <w:tcPr>
            <w:tcW w:w="1985" w:type="dxa"/>
            <w:vMerge w:val="continue"/>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11</w:t>
            </w:r>
          </w:p>
        </w:tc>
        <w:tc>
          <w:tcPr>
            <w:tcW w:w="168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耐水色牢度</w:t>
            </w:r>
          </w:p>
        </w:tc>
        <w:tc>
          <w:tcPr>
            <w:tcW w:w="2410"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5713</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 18401-2010</w:t>
            </w:r>
          </w:p>
        </w:tc>
        <w:tc>
          <w:tcPr>
            <w:tcW w:w="1985" w:type="dxa"/>
            <w:vMerge w:val="continue"/>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12</w:t>
            </w:r>
          </w:p>
        </w:tc>
        <w:tc>
          <w:tcPr>
            <w:tcW w:w="168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耐汗渍色牢度</w:t>
            </w:r>
          </w:p>
        </w:tc>
        <w:tc>
          <w:tcPr>
            <w:tcW w:w="2410"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GB/T 3922</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GB 18401-2010</w:t>
            </w:r>
          </w:p>
        </w:tc>
        <w:tc>
          <w:tcPr>
            <w:tcW w:w="1985" w:type="dxa"/>
            <w:vMerge w:val="continue"/>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13</w:t>
            </w:r>
          </w:p>
        </w:tc>
        <w:tc>
          <w:tcPr>
            <w:tcW w:w="1680" w:type="dxa"/>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r>
              <w:rPr>
                <w:rFonts w:hint="eastAsia" w:ascii="Times New Roman" w:hAnsi="Times New Roman" w:eastAsiaTheme="minorEastAsia"/>
                <w:color w:val="000000" w:themeColor="text1"/>
                <w:szCs w:val="21"/>
                <w14:textFill>
                  <w14:solidFill>
                    <w14:schemeClr w14:val="tx1"/>
                  </w14:solidFill>
                </w14:textFill>
              </w:rPr>
              <w:t>面料纤维含量</w:t>
            </w:r>
          </w:p>
        </w:tc>
        <w:tc>
          <w:tcPr>
            <w:tcW w:w="2410" w:type="dxa"/>
            <w:vAlign w:val="center"/>
          </w:tcPr>
          <w:p>
            <w:pPr>
              <w:adjustRightInd w:val="0"/>
              <w:snapToGrid w:val="0"/>
              <w:jc w:val="center"/>
              <w:rPr>
                <w:rFonts w:hint="eastAsia"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FZ/T</w:t>
            </w:r>
            <w:r>
              <w:rPr>
                <w:rFonts w:hint="eastAsia" w:ascii="Times New Roman" w:hAnsi="Times New Roman" w:eastAsiaTheme="minorEastAsia"/>
                <w:color w:val="000000" w:themeColor="text1"/>
                <w:szCs w:val="21"/>
                <w14:textFill>
                  <w14:solidFill>
                    <w14:schemeClr w14:val="tx1"/>
                  </w14:solidFill>
                </w14:textFill>
              </w:rPr>
              <w:t xml:space="preserve"> </w:t>
            </w:r>
            <w:r>
              <w:rPr>
                <w:rFonts w:ascii="Times New Roman" w:hAnsi="Times New Roman" w:eastAsiaTheme="minorEastAsia"/>
                <w:color w:val="000000" w:themeColor="text1"/>
                <w:szCs w:val="21"/>
                <w14:textFill>
                  <w14:solidFill>
                    <w14:schemeClr w14:val="tx1"/>
                  </w14:solidFill>
                </w14:textFill>
              </w:rPr>
              <w:t>01057.2</w:t>
            </w:r>
            <w:r>
              <w:rPr>
                <w:rFonts w:ascii="Times New Roman" w:hAnsi="Times New Roman" w:eastAsiaTheme="minorEastAsia"/>
                <w:color w:val="000000"/>
                <w:kern w:val="0"/>
                <w:szCs w:val="21"/>
              </w:rPr>
              <w:t>～</w:t>
            </w:r>
            <w:r>
              <w:rPr>
                <w:rFonts w:ascii="Times New Roman" w:hAnsi="Times New Roman" w:eastAsiaTheme="minorEastAsia"/>
                <w:color w:val="000000" w:themeColor="text1"/>
                <w:szCs w:val="21"/>
                <w14:textFill>
                  <w14:solidFill>
                    <w14:schemeClr w14:val="tx1"/>
                  </w14:solidFill>
                </w14:textFill>
              </w:rPr>
              <w:t>4</w:t>
            </w:r>
          </w:p>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GB/T</w:t>
            </w:r>
            <w:r>
              <w:rPr>
                <w:rFonts w:hint="eastAsia" w:ascii="Times New Roman" w:hAnsi="Times New Roman" w:eastAsiaTheme="minorEastAsia"/>
                <w:color w:val="000000" w:themeColor="text1"/>
                <w:szCs w:val="21"/>
                <w14:textFill>
                  <w14:solidFill>
                    <w14:schemeClr w14:val="tx1"/>
                  </w14:solidFill>
                </w14:textFill>
              </w:rPr>
              <w:t xml:space="preserve"> </w:t>
            </w:r>
            <w:r>
              <w:rPr>
                <w:rFonts w:ascii="Times New Roman" w:hAnsi="Times New Roman" w:eastAsiaTheme="minorEastAsia"/>
                <w:color w:val="000000" w:themeColor="text1"/>
                <w:szCs w:val="21"/>
                <w14:textFill>
                  <w14:solidFill>
                    <w14:schemeClr w14:val="tx1"/>
                  </w14:solidFill>
                </w14:textFill>
              </w:rPr>
              <w:t>2910（所有部分）</w:t>
            </w:r>
          </w:p>
          <w:p>
            <w:pPr>
              <w:adjustRightInd w:val="0"/>
              <w:snapToGrid w:val="0"/>
              <w:jc w:val="center"/>
              <w:rPr>
                <w:rFonts w:hint="eastAsia"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FZ/T</w:t>
            </w:r>
            <w:r>
              <w:rPr>
                <w:rFonts w:hint="eastAsia" w:ascii="Times New Roman" w:hAnsi="Times New Roman" w:eastAsiaTheme="minorEastAsia"/>
                <w:color w:val="000000" w:themeColor="text1"/>
                <w:szCs w:val="21"/>
                <w14:textFill>
                  <w14:solidFill>
                    <w14:schemeClr w14:val="tx1"/>
                  </w14:solidFill>
                </w14:textFill>
              </w:rPr>
              <w:t xml:space="preserve"> </w:t>
            </w:r>
            <w:r>
              <w:rPr>
                <w:rFonts w:ascii="Times New Roman" w:hAnsi="Times New Roman" w:eastAsiaTheme="minorEastAsia"/>
                <w:color w:val="000000" w:themeColor="text1"/>
                <w:szCs w:val="21"/>
                <w14:textFill>
                  <w14:solidFill>
                    <w14:schemeClr w14:val="tx1"/>
                  </w14:solidFill>
                </w14:textFill>
              </w:rPr>
              <w:t>01026</w:t>
            </w:r>
          </w:p>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themeColor="text1"/>
                <w:szCs w:val="21"/>
                <w14:textFill>
                  <w14:solidFill>
                    <w14:schemeClr w14:val="tx1"/>
                  </w14:solidFill>
                </w14:textFill>
              </w:rPr>
              <w:t>FZ/T</w:t>
            </w:r>
            <w:r>
              <w:rPr>
                <w:rFonts w:hint="eastAsia" w:ascii="Times New Roman" w:hAnsi="Times New Roman" w:eastAsiaTheme="minorEastAsia"/>
                <w:color w:val="000000" w:themeColor="text1"/>
                <w:szCs w:val="21"/>
                <w14:textFill>
                  <w14:solidFill>
                    <w14:schemeClr w14:val="tx1"/>
                  </w14:solidFill>
                </w14:textFill>
              </w:rPr>
              <w:t xml:space="preserve"> </w:t>
            </w:r>
            <w:r>
              <w:rPr>
                <w:rFonts w:ascii="Times New Roman" w:hAnsi="Times New Roman" w:eastAsiaTheme="minorEastAsia"/>
                <w:color w:val="000000" w:themeColor="text1"/>
                <w:szCs w:val="21"/>
                <w14:textFill>
                  <w14:solidFill>
                    <w14:schemeClr w14:val="tx1"/>
                  </w14:solidFill>
                </w14:textFill>
              </w:rPr>
              <w:t>01095</w:t>
            </w:r>
          </w:p>
        </w:tc>
        <w:tc>
          <w:tcPr>
            <w:tcW w:w="2126" w:type="dxa"/>
            <w:vAlign w:val="center"/>
          </w:tcPr>
          <w:p>
            <w:pPr>
              <w:adjustRightInd w:val="0"/>
              <w:snapToGrid w:val="0"/>
              <w:jc w:val="center"/>
              <w:rPr>
                <w:rFonts w:ascii="Times New Roman" w:hAnsi="Times New Roman" w:eastAsiaTheme="minorEastAsia"/>
                <w:color w:val="000000" w:themeColor="text1"/>
                <w:szCs w:val="21"/>
                <w14:textFill>
                  <w14:solidFill>
                    <w14:schemeClr w14:val="tx1"/>
                  </w14:solidFill>
                </w14:textFill>
              </w:rPr>
            </w:pPr>
            <w:r>
              <w:rPr>
                <w:rFonts w:ascii="Times New Roman" w:hAnsi="Times New Roman" w:eastAsiaTheme="minorEastAsia"/>
                <w:color w:val="000000"/>
                <w:szCs w:val="21"/>
              </w:rPr>
              <w:t>GB/T</w:t>
            </w:r>
            <w:r>
              <w:rPr>
                <w:rFonts w:hint="eastAsia" w:ascii="Times New Roman" w:hAnsi="Times New Roman" w:eastAsiaTheme="minorEastAsia"/>
                <w:color w:val="000000"/>
                <w:szCs w:val="21"/>
              </w:rPr>
              <w:t xml:space="preserve"> </w:t>
            </w:r>
            <w:r>
              <w:rPr>
                <w:rFonts w:ascii="Times New Roman" w:hAnsi="Times New Roman" w:eastAsiaTheme="minorEastAsia"/>
                <w:color w:val="000000"/>
                <w:szCs w:val="21"/>
              </w:rPr>
              <w:t>29862-2013</w:t>
            </w:r>
          </w:p>
        </w:tc>
        <w:tc>
          <w:tcPr>
            <w:tcW w:w="1985" w:type="dxa"/>
            <w:vMerge w:val="continue"/>
            <w:vAlign w:val="center"/>
          </w:tcPr>
          <w:p>
            <w:pPr>
              <w:adjustRightInd w:val="0"/>
              <w:snapToGrid w:val="0"/>
              <w:spacing w:line="500" w:lineRule="exact"/>
              <w:jc w:val="center"/>
              <w:rPr>
                <w:rFonts w:ascii="Times New Roman" w:hAnsi="Times New Roman" w:eastAsiaTheme="minorEastAsia"/>
                <w:color w:val="000000" w:themeColor="text1"/>
                <w:szCs w:val="21"/>
                <w14:textFill>
                  <w14:solidFill>
                    <w14:schemeClr w14:val="tx1"/>
                  </w14:solidFill>
                </w14:textFill>
              </w:rPr>
            </w:pPr>
          </w:p>
        </w:tc>
      </w:tr>
    </w:tbl>
    <w:p>
      <w:pPr>
        <w:adjustRightInd w:val="0"/>
        <w:snapToGrid w:val="0"/>
        <w:spacing w:line="500" w:lineRule="exact"/>
        <w:ind w:firstLine="420" w:firstLineChars="200"/>
        <w:rPr>
          <w:rFonts w:ascii="Times New Roman" w:hAnsi="Times New Roman" w:eastAsiaTheme="minorEastAsia"/>
          <w:szCs w:val="21"/>
        </w:rPr>
      </w:pPr>
      <w:r>
        <w:rPr>
          <w:rFonts w:ascii="Times New Roman" w:hAnsi="Times New Roman" w:eastAsiaTheme="minorEastAsia"/>
          <w:szCs w:val="21"/>
        </w:rPr>
        <w:t>执行企业标准、团体标准、地方标准的产品，检验项目参照上述内容执行。</w:t>
      </w:r>
    </w:p>
    <w:p>
      <w:pPr>
        <w:adjustRightInd w:val="0"/>
        <w:snapToGrid w:val="0"/>
        <w:spacing w:line="500" w:lineRule="exact"/>
        <w:ind w:firstLine="420" w:firstLineChars="200"/>
        <w:rPr>
          <w:rFonts w:ascii="Times New Roman" w:hAnsi="Times New Roman" w:eastAsiaTheme="minorEastAsia"/>
          <w:szCs w:val="21"/>
        </w:rPr>
      </w:pPr>
      <w:r>
        <w:rPr>
          <w:rFonts w:ascii="Times New Roman" w:hAnsi="Times New Roman" w:eastAsiaTheme="minorEastAsia"/>
          <w:szCs w:val="21"/>
        </w:rPr>
        <w:t>凡是注日期的文件，其随后所有的修改单（不包括勘误的内容）或修订版不适用于本细则。凡是不注日期的文件，其最新版本适用于本细则。</w:t>
      </w:r>
    </w:p>
    <w:p>
      <w:pPr>
        <w:adjustRightInd w:val="0"/>
        <w:snapToGrid w:val="0"/>
        <w:spacing w:line="500" w:lineRule="exact"/>
        <w:rPr>
          <w:rFonts w:ascii="黑体" w:hAnsi="黑体" w:eastAsia="黑体" w:cs="黑体"/>
          <w:szCs w:val="21"/>
        </w:rPr>
      </w:pPr>
      <w:r>
        <w:rPr>
          <w:rFonts w:hint="eastAsia" w:ascii="黑体" w:hAnsi="黑体" w:eastAsia="黑体" w:cs="黑体"/>
          <w:szCs w:val="21"/>
        </w:rPr>
        <w:t>3 判定规则</w:t>
      </w:r>
    </w:p>
    <w:p>
      <w:pPr>
        <w:adjustRightInd w:val="0"/>
        <w:snapToGrid w:val="0"/>
        <w:spacing w:line="500" w:lineRule="exact"/>
        <w:rPr>
          <w:rFonts w:ascii="Times New Roman" w:hAnsi="Times New Roman" w:eastAsiaTheme="minorEastAsia"/>
          <w:szCs w:val="21"/>
        </w:rPr>
      </w:pPr>
      <w:r>
        <w:rPr>
          <w:rFonts w:ascii="Times New Roman" w:hAnsi="Times New Roman" w:eastAsiaTheme="minorEastAsia"/>
          <w:szCs w:val="21"/>
        </w:rPr>
        <w:t>3.1依据标准</w:t>
      </w:r>
    </w:p>
    <w:p>
      <w:pPr>
        <w:pStyle w:val="4"/>
        <w:adjustRightInd w:val="0"/>
        <w:snapToGrid w:val="0"/>
        <w:spacing w:before="0" w:after="0" w:line="500" w:lineRule="exact"/>
        <w:ind w:firstLine="420" w:firstLineChars="200"/>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GB18383-2007      絮用纤维制品通用技术要求</w:t>
      </w:r>
    </w:p>
    <w:p>
      <w:pPr>
        <w:snapToGrid w:val="0"/>
        <w:spacing w:line="440" w:lineRule="exact"/>
        <w:ind w:firstLine="420" w:firstLineChars="200"/>
        <w:rPr>
          <w:rFonts w:ascii="宋体" w:hAnsi="宋体"/>
        </w:rPr>
      </w:pPr>
      <w:r>
        <w:rPr>
          <w:rFonts w:hint="eastAsia" w:ascii="Times New Roman" w:hAnsi="Times New Roman"/>
          <w:color w:val="000000" w:themeColor="text1"/>
          <w:szCs w:val="21"/>
          <w14:textFill>
            <w14:solidFill>
              <w14:schemeClr w14:val="tx1"/>
            </w14:solidFill>
          </w14:textFill>
        </w:rPr>
        <w:t xml:space="preserve">GB 18401-2010      </w:t>
      </w:r>
      <w:r>
        <w:rPr>
          <w:rFonts w:ascii="宋体" w:hAnsi="宋体"/>
        </w:rPr>
        <w:t>国家纺织产品基本安全技术规范</w:t>
      </w:r>
    </w:p>
    <w:p>
      <w:pPr>
        <w:pStyle w:val="4"/>
        <w:adjustRightInd w:val="0"/>
        <w:snapToGrid w:val="0"/>
        <w:spacing w:before="0" w:after="0" w:line="500" w:lineRule="exact"/>
        <w:ind w:firstLine="420" w:firstLineChars="200"/>
        <w:rPr>
          <w:rFonts w:ascii="Times New Roman" w:hAnsi="Times New Roman" w:cs="Times New Roman"/>
          <w:color w:val="000000" w:themeColor="text1"/>
          <w:sz w:val="21"/>
          <w:szCs w:val="21"/>
          <w:lang w:eastAsia="zh-CN"/>
          <w14:textFill>
            <w14:solidFill>
              <w14:schemeClr w14:val="tx1"/>
            </w14:solidFill>
          </w14:textFill>
        </w:rPr>
      </w:pPr>
      <w:r>
        <w:rPr>
          <w:rFonts w:hint="eastAsia" w:ascii="Times New Roman" w:hAnsi="Times New Roman" w:cs="Times New Roman"/>
          <w:color w:val="000000" w:themeColor="text1"/>
          <w:sz w:val="21"/>
          <w:szCs w:val="21"/>
          <w:lang w:eastAsia="zh-CN"/>
          <w14:textFill>
            <w14:solidFill>
              <w14:schemeClr w14:val="tx1"/>
            </w14:solidFill>
          </w14:textFill>
        </w:rPr>
        <w:t>GB 35932-2018      梳棉胎</w:t>
      </w:r>
    </w:p>
    <w:p>
      <w:pPr>
        <w:adjustRightInd w:val="0"/>
        <w:snapToGrid w:val="0"/>
        <w:spacing w:line="500" w:lineRule="exact"/>
        <w:ind w:firstLine="420" w:firstLineChars="200"/>
        <w:rPr>
          <w:rFonts w:ascii="Times New Roman" w:hAnsi="Times New Roman" w:eastAsiaTheme="minorEastAsia"/>
          <w:szCs w:val="21"/>
        </w:rPr>
      </w:pPr>
      <w:r>
        <w:rPr>
          <w:rFonts w:ascii="Times New Roman" w:hAnsi="Times New Roman" w:eastAsiaTheme="minorEastAsia"/>
          <w:szCs w:val="21"/>
        </w:rPr>
        <w:t>现行有效的企业标准、团体标准、地方标准及产品明示质量要求。</w:t>
      </w:r>
    </w:p>
    <w:p>
      <w:pPr>
        <w:adjustRightInd w:val="0"/>
        <w:snapToGrid w:val="0"/>
        <w:spacing w:line="500" w:lineRule="exact"/>
        <w:rPr>
          <w:rFonts w:ascii="Times New Roman" w:hAnsi="Times New Roman" w:eastAsiaTheme="minorEastAsia"/>
          <w:szCs w:val="21"/>
        </w:rPr>
      </w:pPr>
      <w:r>
        <w:rPr>
          <w:rFonts w:ascii="Times New Roman" w:hAnsi="Times New Roman" w:eastAsiaTheme="minorEastAsia"/>
          <w:szCs w:val="21"/>
        </w:rPr>
        <w:t>3.2判定原则</w:t>
      </w:r>
    </w:p>
    <w:p>
      <w:pPr>
        <w:adjustRightInd w:val="0"/>
        <w:snapToGrid w:val="0"/>
        <w:spacing w:line="500" w:lineRule="exact"/>
        <w:ind w:firstLine="420" w:firstLineChars="200"/>
        <w:rPr>
          <w:rFonts w:ascii="Times New Roman" w:hAnsi="Times New Roman" w:eastAsiaTheme="minorEastAsia"/>
          <w:szCs w:val="21"/>
        </w:rPr>
      </w:pPr>
      <w:r>
        <w:rPr>
          <w:rFonts w:ascii="Times New Roman" w:hAnsi="Times New Roman" w:eastAsiaTheme="minorEastAsia"/>
          <w:szCs w:val="21"/>
        </w:rPr>
        <w:t>经抽样检验，检验项目全部合格，判定为被抽查产品所检项目合格；检验项目中任一项或一项以上不合格，判定为被抽查产品质量不合格。</w:t>
      </w:r>
    </w:p>
    <w:p>
      <w:pPr>
        <w:adjustRightInd w:val="0"/>
        <w:snapToGrid w:val="0"/>
        <w:spacing w:line="500" w:lineRule="exact"/>
        <w:ind w:firstLine="420" w:firstLineChars="200"/>
        <w:rPr>
          <w:rFonts w:ascii="Times New Roman" w:hAnsi="Times New Roman" w:eastAsiaTheme="minorEastAsia"/>
          <w:szCs w:val="21"/>
        </w:rPr>
      </w:pPr>
      <w:r>
        <w:rPr>
          <w:rFonts w:hint="eastAsia" w:ascii="Times New Roman" w:hAnsi="Times New Roman" w:eastAsiaTheme="minorEastAsia"/>
          <w:szCs w:val="21"/>
        </w:rPr>
        <w:t>如所抽检样品为纯棉梳棉胎，检验出的综合判定级别低于明示梳棉胎级别，则</w:t>
      </w:r>
      <w:r>
        <w:rPr>
          <w:rFonts w:ascii="Times New Roman" w:hAnsi="Times New Roman" w:eastAsiaTheme="minorEastAsia"/>
          <w:szCs w:val="21"/>
        </w:rPr>
        <w:t>判定为被抽查产品质量不合格</w:t>
      </w:r>
      <w:r>
        <w:rPr>
          <w:rFonts w:hint="eastAsia" w:ascii="Times New Roman" w:hAnsi="Times New Roman" w:eastAsiaTheme="minorEastAsia"/>
          <w:szCs w:val="21"/>
        </w:rPr>
        <w:t>，检验出的综合判定级别高于明示梳棉胎级别，则按实际级别出，判定为合格。</w:t>
      </w:r>
    </w:p>
    <w:p>
      <w:pPr>
        <w:adjustRightInd w:val="0"/>
        <w:snapToGrid w:val="0"/>
        <w:spacing w:line="500" w:lineRule="exact"/>
        <w:rPr>
          <w:rFonts w:ascii="Times New Roman" w:hAnsi="Times New Roman" w:eastAsiaTheme="minorEastAsia"/>
          <w:szCs w:val="21"/>
        </w:rPr>
      </w:pPr>
    </w:p>
    <w:p>
      <w:pPr>
        <w:spacing w:line="440" w:lineRule="exact"/>
        <w:rPr>
          <w:rFonts w:eastAsia="黑体"/>
          <w:szCs w:val="21"/>
        </w:rPr>
      </w:pPr>
      <w:r>
        <w:rPr>
          <w:rFonts w:hint="eastAsia" w:eastAsia="黑体"/>
          <w:szCs w:val="21"/>
        </w:rPr>
        <w:t>4 异议处理</w:t>
      </w:r>
    </w:p>
    <w:p>
      <w:pPr>
        <w:widowControl/>
        <w:shd w:val="clear" w:color="auto" w:fill="FFFFFF"/>
        <w:spacing w:before="60" w:after="60" w:line="430" w:lineRule="atLeast"/>
        <w:ind w:firstLine="480"/>
        <w:rPr>
          <w:szCs w:val="21"/>
        </w:rPr>
      </w:pPr>
      <w:r>
        <w:rPr>
          <w:rFonts w:hint="eastAsia"/>
          <w:szCs w:val="21"/>
        </w:rPr>
        <w:t>4.1 被抽样单位对抽样过程、样品真实性等有异议的，收到异议处理申请的云南省纤维检验局组织异议处理，并将处理结论书面告知申请人。</w:t>
      </w:r>
    </w:p>
    <w:p>
      <w:pPr>
        <w:widowControl/>
        <w:shd w:val="clear" w:color="auto" w:fill="FFFFFF"/>
        <w:spacing w:before="60" w:after="60" w:line="430" w:lineRule="atLeast"/>
        <w:ind w:firstLine="480"/>
        <w:rPr>
          <w:szCs w:val="21"/>
        </w:rPr>
      </w:pPr>
      <w:r>
        <w:rPr>
          <w:rFonts w:hint="eastAsia"/>
          <w:szCs w:val="21"/>
        </w:rPr>
        <w:t>4.2 复检</w:t>
      </w:r>
    </w:p>
    <w:p>
      <w:pPr>
        <w:widowControl/>
        <w:shd w:val="clear" w:color="auto" w:fill="FFFFFF"/>
        <w:spacing w:before="60" w:after="60" w:line="430" w:lineRule="atLeast"/>
        <w:ind w:firstLine="480"/>
        <w:rPr>
          <w:szCs w:val="21"/>
        </w:rPr>
      </w:pPr>
      <w:r>
        <w:rPr>
          <w:rFonts w:hint="eastAsia"/>
          <w:szCs w:val="21"/>
        </w:rPr>
        <w:t>4.2.1 被抽样单位对检验结论有异议的，应当自收到检验结论书面告知之日起十五日内向云南省纤维检验局提出书面异议处理申请，并提交相关材料。</w:t>
      </w:r>
    </w:p>
    <w:p>
      <w:pPr>
        <w:widowControl/>
        <w:shd w:val="clear" w:color="auto" w:fill="FFFFFF"/>
        <w:spacing w:before="60" w:after="60" w:line="430" w:lineRule="atLeast"/>
        <w:ind w:firstLine="480"/>
        <w:rPr>
          <w:szCs w:val="21"/>
        </w:rPr>
      </w:pPr>
      <w:r>
        <w:rPr>
          <w:rFonts w:hint="eastAsia"/>
          <w:szCs w:val="21"/>
        </w:rPr>
        <w:t>4.2.2 复检样品为备用样品。</w:t>
      </w:r>
    </w:p>
    <w:p>
      <w:pPr>
        <w:widowControl/>
        <w:shd w:val="clear" w:color="auto" w:fill="FFFFFF"/>
        <w:spacing w:before="60" w:after="60" w:line="430" w:lineRule="atLeast"/>
        <w:ind w:firstLine="480"/>
        <w:rPr>
          <w:szCs w:val="21"/>
        </w:rPr>
      </w:pPr>
      <w:r>
        <w:rPr>
          <w:rFonts w:hint="eastAsia"/>
          <w:szCs w:val="21"/>
        </w:rPr>
        <w:t>4.2.3被抽样单位对检验结论有异议，提出书面复检申请并阐明理由的，收到异议处理申请的云南省纤维检验局组织研究。对需要复检并具备检验条件的，组织复检。</w:t>
      </w:r>
    </w:p>
    <w:p>
      <w:pPr>
        <w:widowControl/>
        <w:shd w:val="clear" w:color="auto" w:fill="FFFFFF"/>
        <w:spacing w:before="60" w:after="60" w:line="430" w:lineRule="atLeast"/>
        <w:ind w:firstLine="480"/>
        <w:rPr>
          <w:szCs w:val="21"/>
        </w:rPr>
      </w:pPr>
      <w:r>
        <w:rPr>
          <w:rFonts w:hint="eastAsia"/>
          <w:szCs w:val="21"/>
        </w:rPr>
        <w:t>4.2.4申请人应当自收到云南省纤维检验局复检通知之日起七日内办理复检手续。逾期未办理的，视为放弃复检。</w:t>
      </w:r>
    </w:p>
    <w:p>
      <w:pPr>
        <w:widowControl/>
        <w:shd w:val="clear" w:color="auto" w:fill="FFFFFF"/>
        <w:spacing w:before="60" w:after="60" w:line="430" w:lineRule="atLeast"/>
        <w:ind w:firstLine="480"/>
        <w:rPr>
          <w:szCs w:val="21"/>
        </w:rPr>
      </w:pPr>
      <w:r>
        <w:rPr>
          <w:rFonts w:hint="eastAsia"/>
          <w:szCs w:val="21"/>
        </w:rPr>
        <w:t>4.2.5云南省纤维检验局自申请人办理复检手续之日起十日内确定具备相应资质的检验机构进行复检。</w:t>
      </w:r>
    </w:p>
    <w:p>
      <w:pPr>
        <w:widowControl/>
        <w:shd w:val="clear" w:color="auto" w:fill="FFFFFF"/>
        <w:spacing w:before="60" w:after="60" w:line="430" w:lineRule="atLeast"/>
        <w:ind w:firstLine="480"/>
        <w:rPr>
          <w:szCs w:val="21"/>
        </w:rPr>
      </w:pPr>
      <w:r>
        <w:rPr>
          <w:rFonts w:hint="eastAsia"/>
          <w:szCs w:val="21"/>
        </w:rPr>
        <w:t>4.2.6被抽样单位隐匿、转移、变卖、损毁备用样品的，应当终止复检，并以初检结论为最终结论。</w:t>
      </w:r>
    </w:p>
    <w:p>
      <w:pPr>
        <w:widowControl/>
        <w:shd w:val="clear" w:color="auto" w:fill="FFFFFF"/>
        <w:spacing w:before="60" w:after="60" w:line="430" w:lineRule="atLeast"/>
        <w:ind w:firstLine="480"/>
        <w:rPr>
          <w:szCs w:val="21"/>
        </w:rPr>
      </w:pPr>
      <w:r>
        <w:rPr>
          <w:rFonts w:hint="eastAsia"/>
          <w:szCs w:val="21"/>
        </w:rPr>
        <w:t>4.2.7 复检机构应当在规定时间内按照监督抽查实施细则所规定的检验方法、判定规则等对与异议相关的检验项目进行复检，并将复检结论及时报送云南省纤维检验局，由云南省纤维检验局书面告知复检申请人。复检结论为最终结论。</w:t>
      </w:r>
    </w:p>
    <w:p>
      <w:pPr>
        <w:widowControl/>
        <w:shd w:val="clear" w:color="auto" w:fill="FFFFFF"/>
        <w:spacing w:before="60" w:after="60" w:line="430" w:lineRule="atLeast"/>
        <w:ind w:firstLine="480"/>
        <w:rPr>
          <w:szCs w:val="21"/>
        </w:rPr>
      </w:pPr>
      <w:r>
        <w:rPr>
          <w:rFonts w:hint="eastAsia"/>
          <w:szCs w:val="21"/>
        </w:rPr>
        <w:t>4.2.8 复检费用由申请人向复检机构先行支付。复检结论与初检结论一致的，复检费用由申请人承担；与初检结论不一致的，复检费用由云南省纤维检验局承担。</w:t>
      </w:r>
    </w:p>
    <w:p>
      <w:pPr>
        <w:spacing w:line="440" w:lineRule="exact"/>
        <w:rPr>
          <w:rFonts w:eastAsia="黑体"/>
          <w:szCs w:val="21"/>
        </w:rPr>
      </w:pPr>
      <w:r>
        <w:rPr>
          <w:rFonts w:hint="eastAsia" w:eastAsia="黑体"/>
          <w:szCs w:val="21"/>
        </w:rPr>
        <w:t>5 附则</w:t>
      </w:r>
    </w:p>
    <w:p>
      <w:pPr>
        <w:widowControl/>
        <w:shd w:val="clear" w:color="auto" w:fill="FFFFFF"/>
        <w:spacing w:before="60" w:after="60" w:line="430" w:lineRule="atLeast"/>
        <w:ind w:firstLine="480"/>
        <w:rPr>
          <w:szCs w:val="21"/>
        </w:rPr>
      </w:pPr>
      <w:r>
        <w:rPr>
          <w:rFonts w:hint="eastAsia"/>
          <w:szCs w:val="21"/>
        </w:rPr>
        <w:t>5.1 本细则经云南省纤维检验局批准生效，仅用于云南省纤维检验局组织开展的2024年云南省絮用纤维制品</w:t>
      </w:r>
      <w:r>
        <w:rPr>
          <w:szCs w:val="21"/>
        </w:rPr>
        <w:t>产品质量监督抽查</w:t>
      </w:r>
      <w:r>
        <w:rPr>
          <w:rFonts w:hint="eastAsia"/>
          <w:szCs w:val="21"/>
        </w:rPr>
        <w:t>工作。</w:t>
      </w:r>
    </w:p>
    <w:p>
      <w:pPr>
        <w:widowControl/>
        <w:shd w:val="clear" w:color="auto" w:fill="FFFFFF"/>
        <w:spacing w:before="60" w:after="60" w:line="440" w:lineRule="atLeast"/>
        <w:ind w:firstLine="480"/>
        <w:rPr>
          <w:szCs w:val="21"/>
        </w:rPr>
      </w:pPr>
      <w:r>
        <w:rPr>
          <w:rFonts w:hint="eastAsia"/>
          <w:szCs w:val="21"/>
        </w:rPr>
        <w:t>5.2 本细则由云南省纤维检验局起草并负责解释。</w:t>
      </w:r>
    </w:p>
    <w:p>
      <w:pPr>
        <w:spacing w:line="500" w:lineRule="exact"/>
        <w:ind w:firstLine="420" w:firstLineChars="200"/>
        <w:rPr>
          <w:rFonts w:ascii="Times New Roman" w:hAnsi="Times New Roman" w:eastAsiaTheme="minorEastAsia"/>
          <w:szCs w:val="21"/>
        </w:rPr>
      </w:pPr>
    </w:p>
    <w:sectPr>
      <w:pgSz w:w="11906" w:h="16838"/>
      <w:pgMar w:top="1418" w:right="1797" w:bottom="1418"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䁩￳·Pᴀذ普通表格㐀ۖĀ̊l혴ԁ愀϶嘺͠＀＀＀＀＀＀＀＀氀氀̀̃ś耀￶￵￶￷＀dЉࠄЁ＀＀＀＀_x000a__x000a_$_x000a_%ÿ䤟}á腏½僀M뮛Y撀¢걋Æ雷Fÿÿá䤟}k耀＀dЀЀЀ＀＀＀＀耀%_x000a_%＀dЉࠄЁ＀＀＀＀_x000a__x000a_$_x000a_%ÿ䤟}á腏½僀M뮛Y撀¢걋Æ雷Fÿÿá䤟}_x000a__x000a_k耀＀dЀЀЀ＀＀＀＀鱌Ӥ䐀㿠က䚸吉瑩敬慂䡲楥桧tሀӜय쀀鶚ꜚ-連쀀"/>
  </w:docVars>
  <w:rsids>
    <w:rsidRoot w:val="008F3B55"/>
    <w:rsid w:val="00001885"/>
    <w:rsid w:val="0000277D"/>
    <w:rsid w:val="00005EE0"/>
    <w:rsid w:val="00017BFB"/>
    <w:rsid w:val="0002309D"/>
    <w:rsid w:val="00026FDA"/>
    <w:rsid w:val="00027E39"/>
    <w:rsid w:val="000323DC"/>
    <w:rsid w:val="0003391D"/>
    <w:rsid w:val="000364C6"/>
    <w:rsid w:val="000415C9"/>
    <w:rsid w:val="000450EF"/>
    <w:rsid w:val="00066E43"/>
    <w:rsid w:val="000702B7"/>
    <w:rsid w:val="000727C3"/>
    <w:rsid w:val="00083734"/>
    <w:rsid w:val="00085B1D"/>
    <w:rsid w:val="00086C69"/>
    <w:rsid w:val="00086D05"/>
    <w:rsid w:val="00092DC5"/>
    <w:rsid w:val="0009325A"/>
    <w:rsid w:val="000966B1"/>
    <w:rsid w:val="00096A0D"/>
    <w:rsid w:val="000A79B6"/>
    <w:rsid w:val="000C675C"/>
    <w:rsid w:val="000C67A2"/>
    <w:rsid w:val="000D611F"/>
    <w:rsid w:val="000D7B34"/>
    <w:rsid w:val="000E064F"/>
    <w:rsid w:val="000E2876"/>
    <w:rsid w:val="000F64A9"/>
    <w:rsid w:val="000F7024"/>
    <w:rsid w:val="001014A4"/>
    <w:rsid w:val="00102A57"/>
    <w:rsid w:val="00105688"/>
    <w:rsid w:val="001078A4"/>
    <w:rsid w:val="00113A91"/>
    <w:rsid w:val="00123CD9"/>
    <w:rsid w:val="0013525B"/>
    <w:rsid w:val="001363DF"/>
    <w:rsid w:val="0013712C"/>
    <w:rsid w:val="00144B06"/>
    <w:rsid w:val="00146526"/>
    <w:rsid w:val="00153B2F"/>
    <w:rsid w:val="00160FCF"/>
    <w:rsid w:val="00167EDF"/>
    <w:rsid w:val="001713F9"/>
    <w:rsid w:val="00173A7F"/>
    <w:rsid w:val="0017438E"/>
    <w:rsid w:val="00176CB1"/>
    <w:rsid w:val="001802C6"/>
    <w:rsid w:val="001803B4"/>
    <w:rsid w:val="00183A5B"/>
    <w:rsid w:val="0018438D"/>
    <w:rsid w:val="0018653F"/>
    <w:rsid w:val="00194A31"/>
    <w:rsid w:val="00195537"/>
    <w:rsid w:val="001B04A0"/>
    <w:rsid w:val="001B50A6"/>
    <w:rsid w:val="001B5C7B"/>
    <w:rsid w:val="001B6222"/>
    <w:rsid w:val="001B782D"/>
    <w:rsid w:val="001C2849"/>
    <w:rsid w:val="001F04BC"/>
    <w:rsid w:val="001F2C67"/>
    <w:rsid w:val="001F3639"/>
    <w:rsid w:val="002002CD"/>
    <w:rsid w:val="002014E5"/>
    <w:rsid w:val="00202B4F"/>
    <w:rsid w:val="00204C62"/>
    <w:rsid w:val="00204D09"/>
    <w:rsid w:val="002223EE"/>
    <w:rsid w:val="00223CEC"/>
    <w:rsid w:val="00243A73"/>
    <w:rsid w:val="00245D08"/>
    <w:rsid w:val="00246EF4"/>
    <w:rsid w:val="002527CE"/>
    <w:rsid w:val="0025460D"/>
    <w:rsid w:val="002546F5"/>
    <w:rsid w:val="0025568D"/>
    <w:rsid w:val="00257152"/>
    <w:rsid w:val="00257C0B"/>
    <w:rsid w:val="00262D1A"/>
    <w:rsid w:val="00266118"/>
    <w:rsid w:val="00270E79"/>
    <w:rsid w:val="0027208A"/>
    <w:rsid w:val="002811FA"/>
    <w:rsid w:val="00287345"/>
    <w:rsid w:val="00290E68"/>
    <w:rsid w:val="002931CB"/>
    <w:rsid w:val="00294B9A"/>
    <w:rsid w:val="0029763F"/>
    <w:rsid w:val="00297FBA"/>
    <w:rsid w:val="002A260B"/>
    <w:rsid w:val="002B4615"/>
    <w:rsid w:val="002C093D"/>
    <w:rsid w:val="002C0D8D"/>
    <w:rsid w:val="002C15D7"/>
    <w:rsid w:val="002C28A1"/>
    <w:rsid w:val="002C4BD6"/>
    <w:rsid w:val="002D0520"/>
    <w:rsid w:val="002D18E0"/>
    <w:rsid w:val="002E593F"/>
    <w:rsid w:val="002E6B11"/>
    <w:rsid w:val="002F51CB"/>
    <w:rsid w:val="00300D85"/>
    <w:rsid w:val="00304DF6"/>
    <w:rsid w:val="0031143E"/>
    <w:rsid w:val="00311B11"/>
    <w:rsid w:val="00321CC7"/>
    <w:rsid w:val="00322CD0"/>
    <w:rsid w:val="00322D3A"/>
    <w:rsid w:val="003271F6"/>
    <w:rsid w:val="00334697"/>
    <w:rsid w:val="00337CBD"/>
    <w:rsid w:val="00350EDA"/>
    <w:rsid w:val="00352F57"/>
    <w:rsid w:val="003536FE"/>
    <w:rsid w:val="0035377C"/>
    <w:rsid w:val="00355CD8"/>
    <w:rsid w:val="00355D08"/>
    <w:rsid w:val="0035707E"/>
    <w:rsid w:val="003625A2"/>
    <w:rsid w:val="00370E28"/>
    <w:rsid w:val="003751AA"/>
    <w:rsid w:val="003763DE"/>
    <w:rsid w:val="0037683A"/>
    <w:rsid w:val="00376902"/>
    <w:rsid w:val="00377312"/>
    <w:rsid w:val="00381339"/>
    <w:rsid w:val="003918DE"/>
    <w:rsid w:val="00393C30"/>
    <w:rsid w:val="003C1B8D"/>
    <w:rsid w:val="003C4FD9"/>
    <w:rsid w:val="003C5CB8"/>
    <w:rsid w:val="003C7194"/>
    <w:rsid w:val="003D2381"/>
    <w:rsid w:val="003E1FF9"/>
    <w:rsid w:val="003E4C7B"/>
    <w:rsid w:val="003F0C5B"/>
    <w:rsid w:val="003F2928"/>
    <w:rsid w:val="003F3F0E"/>
    <w:rsid w:val="003F584B"/>
    <w:rsid w:val="003F5DFB"/>
    <w:rsid w:val="00400204"/>
    <w:rsid w:val="00402509"/>
    <w:rsid w:val="004106D4"/>
    <w:rsid w:val="00413A41"/>
    <w:rsid w:val="00421A02"/>
    <w:rsid w:val="00423D91"/>
    <w:rsid w:val="00436681"/>
    <w:rsid w:val="00440A5A"/>
    <w:rsid w:val="004462E0"/>
    <w:rsid w:val="0044724C"/>
    <w:rsid w:val="00447B38"/>
    <w:rsid w:val="004616B5"/>
    <w:rsid w:val="00467317"/>
    <w:rsid w:val="00470B06"/>
    <w:rsid w:val="0047214C"/>
    <w:rsid w:val="004741EC"/>
    <w:rsid w:val="004765F1"/>
    <w:rsid w:val="004839CC"/>
    <w:rsid w:val="00493ACB"/>
    <w:rsid w:val="00495C1B"/>
    <w:rsid w:val="004975DB"/>
    <w:rsid w:val="004A53D3"/>
    <w:rsid w:val="004B0509"/>
    <w:rsid w:val="004B092E"/>
    <w:rsid w:val="004B1722"/>
    <w:rsid w:val="004C6AD9"/>
    <w:rsid w:val="004D3876"/>
    <w:rsid w:val="004D4DE7"/>
    <w:rsid w:val="004E06D1"/>
    <w:rsid w:val="004E09F6"/>
    <w:rsid w:val="004E25F8"/>
    <w:rsid w:val="004E6189"/>
    <w:rsid w:val="004F1A5B"/>
    <w:rsid w:val="004F1C57"/>
    <w:rsid w:val="004F1DDA"/>
    <w:rsid w:val="004F711B"/>
    <w:rsid w:val="004F77A8"/>
    <w:rsid w:val="00500107"/>
    <w:rsid w:val="00513612"/>
    <w:rsid w:val="00513649"/>
    <w:rsid w:val="00516636"/>
    <w:rsid w:val="00516AE0"/>
    <w:rsid w:val="00517D57"/>
    <w:rsid w:val="00526E17"/>
    <w:rsid w:val="005278F1"/>
    <w:rsid w:val="00541468"/>
    <w:rsid w:val="0054352E"/>
    <w:rsid w:val="00552ABE"/>
    <w:rsid w:val="005549C0"/>
    <w:rsid w:val="00554BE3"/>
    <w:rsid w:val="00560E4D"/>
    <w:rsid w:val="0056430E"/>
    <w:rsid w:val="00573B6F"/>
    <w:rsid w:val="00574606"/>
    <w:rsid w:val="00577C3B"/>
    <w:rsid w:val="00582D4B"/>
    <w:rsid w:val="00583B5C"/>
    <w:rsid w:val="00584451"/>
    <w:rsid w:val="005919B3"/>
    <w:rsid w:val="00597AC0"/>
    <w:rsid w:val="005A087D"/>
    <w:rsid w:val="005A2BD1"/>
    <w:rsid w:val="005A3CB8"/>
    <w:rsid w:val="005A75A6"/>
    <w:rsid w:val="005B2AEF"/>
    <w:rsid w:val="005B5071"/>
    <w:rsid w:val="005C1855"/>
    <w:rsid w:val="005C206A"/>
    <w:rsid w:val="005C6BB1"/>
    <w:rsid w:val="005D7855"/>
    <w:rsid w:val="005E231B"/>
    <w:rsid w:val="005E5569"/>
    <w:rsid w:val="005F7F17"/>
    <w:rsid w:val="00602334"/>
    <w:rsid w:val="00604CF5"/>
    <w:rsid w:val="00606E4B"/>
    <w:rsid w:val="006124BB"/>
    <w:rsid w:val="00617BA0"/>
    <w:rsid w:val="00630BBD"/>
    <w:rsid w:val="006408CE"/>
    <w:rsid w:val="006429A5"/>
    <w:rsid w:val="0064684F"/>
    <w:rsid w:val="0065479C"/>
    <w:rsid w:val="006561AC"/>
    <w:rsid w:val="00656251"/>
    <w:rsid w:val="00663DF2"/>
    <w:rsid w:val="00674A90"/>
    <w:rsid w:val="00677A78"/>
    <w:rsid w:val="00687564"/>
    <w:rsid w:val="006A0122"/>
    <w:rsid w:val="006A4063"/>
    <w:rsid w:val="006A6384"/>
    <w:rsid w:val="006A707B"/>
    <w:rsid w:val="006B517A"/>
    <w:rsid w:val="006B6F11"/>
    <w:rsid w:val="006C08F8"/>
    <w:rsid w:val="006D2EC0"/>
    <w:rsid w:val="006E4C82"/>
    <w:rsid w:val="00701310"/>
    <w:rsid w:val="007033EA"/>
    <w:rsid w:val="00713DA8"/>
    <w:rsid w:val="00716865"/>
    <w:rsid w:val="00722D22"/>
    <w:rsid w:val="007306E6"/>
    <w:rsid w:val="007355AC"/>
    <w:rsid w:val="007416AC"/>
    <w:rsid w:val="0074232B"/>
    <w:rsid w:val="007433BD"/>
    <w:rsid w:val="007435B6"/>
    <w:rsid w:val="00750E6F"/>
    <w:rsid w:val="0075432C"/>
    <w:rsid w:val="00760FB8"/>
    <w:rsid w:val="00762EA5"/>
    <w:rsid w:val="007633C1"/>
    <w:rsid w:val="00764F8F"/>
    <w:rsid w:val="00766F9F"/>
    <w:rsid w:val="00775CF9"/>
    <w:rsid w:val="007827AC"/>
    <w:rsid w:val="00792168"/>
    <w:rsid w:val="0079404C"/>
    <w:rsid w:val="00796086"/>
    <w:rsid w:val="0079689B"/>
    <w:rsid w:val="0079770C"/>
    <w:rsid w:val="007A382E"/>
    <w:rsid w:val="007A6DEB"/>
    <w:rsid w:val="007B6202"/>
    <w:rsid w:val="007C07BB"/>
    <w:rsid w:val="007C6358"/>
    <w:rsid w:val="007D0A4B"/>
    <w:rsid w:val="007D6E28"/>
    <w:rsid w:val="007E0E0F"/>
    <w:rsid w:val="007E4A89"/>
    <w:rsid w:val="007E7565"/>
    <w:rsid w:val="007F1028"/>
    <w:rsid w:val="007F2004"/>
    <w:rsid w:val="007F507D"/>
    <w:rsid w:val="007F65A3"/>
    <w:rsid w:val="00802349"/>
    <w:rsid w:val="00803BFA"/>
    <w:rsid w:val="008148A9"/>
    <w:rsid w:val="00816960"/>
    <w:rsid w:val="00821147"/>
    <w:rsid w:val="0082355C"/>
    <w:rsid w:val="00826C13"/>
    <w:rsid w:val="00827B05"/>
    <w:rsid w:val="00836B08"/>
    <w:rsid w:val="008505B3"/>
    <w:rsid w:val="00852C2C"/>
    <w:rsid w:val="008638BE"/>
    <w:rsid w:val="008659DA"/>
    <w:rsid w:val="00872B81"/>
    <w:rsid w:val="0087318E"/>
    <w:rsid w:val="008763A5"/>
    <w:rsid w:val="008814E9"/>
    <w:rsid w:val="0088234F"/>
    <w:rsid w:val="0088290D"/>
    <w:rsid w:val="0088384E"/>
    <w:rsid w:val="00886BA1"/>
    <w:rsid w:val="008911E7"/>
    <w:rsid w:val="00892932"/>
    <w:rsid w:val="00893EF8"/>
    <w:rsid w:val="008A01CA"/>
    <w:rsid w:val="008C116D"/>
    <w:rsid w:val="008C44C4"/>
    <w:rsid w:val="008C6503"/>
    <w:rsid w:val="008C6F2E"/>
    <w:rsid w:val="008C7AB8"/>
    <w:rsid w:val="008D30AC"/>
    <w:rsid w:val="008D5CED"/>
    <w:rsid w:val="008D6F9E"/>
    <w:rsid w:val="008D7546"/>
    <w:rsid w:val="008E6F9B"/>
    <w:rsid w:val="008F3B55"/>
    <w:rsid w:val="008F42A0"/>
    <w:rsid w:val="008F4488"/>
    <w:rsid w:val="008F59D1"/>
    <w:rsid w:val="009033FF"/>
    <w:rsid w:val="00913F3D"/>
    <w:rsid w:val="009177F8"/>
    <w:rsid w:val="00932420"/>
    <w:rsid w:val="009329E5"/>
    <w:rsid w:val="00934F74"/>
    <w:rsid w:val="00936F69"/>
    <w:rsid w:val="009402E4"/>
    <w:rsid w:val="009412D4"/>
    <w:rsid w:val="00941878"/>
    <w:rsid w:val="00941D6A"/>
    <w:rsid w:val="0094229D"/>
    <w:rsid w:val="0094327E"/>
    <w:rsid w:val="00944513"/>
    <w:rsid w:val="00947511"/>
    <w:rsid w:val="00947D24"/>
    <w:rsid w:val="009526C7"/>
    <w:rsid w:val="009530FD"/>
    <w:rsid w:val="00953B19"/>
    <w:rsid w:val="00955A32"/>
    <w:rsid w:val="00967BD4"/>
    <w:rsid w:val="00973A5A"/>
    <w:rsid w:val="009762EF"/>
    <w:rsid w:val="009819A0"/>
    <w:rsid w:val="00982F5E"/>
    <w:rsid w:val="00984447"/>
    <w:rsid w:val="009878A3"/>
    <w:rsid w:val="00997585"/>
    <w:rsid w:val="009A2A4F"/>
    <w:rsid w:val="009B0F06"/>
    <w:rsid w:val="009B1F03"/>
    <w:rsid w:val="009B57F9"/>
    <w:rsid w:val="009B5F00"/>
    <w:rsid w:val="009B7A63"/>
    <w:rsid w:val="009C3668"/>
    <w:rsid w:val="009C3D7D"/>
    <w:rsid w:val="009C52A9"/>
    <w:rsid w:val="009C6235"/>
    <w:rsid w:val="009C6BC7"/>
    <w:rsid w:val="009D2701"/>
    <w:rsid w:val="009D2B33"/>
    <w:rsid w:val="009F00C1"/>
    <w:rsid w:val="009F34C9"/>
    <w:rsid w:val="00A02788"/>
    <w:rsid w:val="00A043D7"/>
    <w:rsid w:val="00A079EE"/>
    <w:rsid w:val="00A109F0"/>
    <w:rsid w:val="00A127D5"/>
    <w:rsid w:val="00A241A4"/>
    <w:rsid w:val="00A25B20"/>
    <w:rsid w:val="00A25EB2"/>
    <w:rsid w:val="00A36857"/>
    <w:rsid w:val="00A4134C"/>
    <w:rsid w:val="00A42F78"/>
    <w:rsid w:val="00A4422D"/>
    <w:rsid w:val="00A528D1"/>
    <w:rsid w:val="00A537E2"/>
    <w:rsid w:val="00A53BA0"/>
    <w:rsid w:val="00A53F3F"/>
    <w:rsid w:val="00A727E5"/>
    <w:rsid w:val="00A72CF2"/>
    <w:rsid w:val="00A74DFB"/>
    <w:rsid w:val="00A75788"/>
    <w:rsid w:val="00A764B1"/>
    <w:rsid w:val="00A77DCE"/>
    <w:rsid w:val="00A92585"/>
    <w:rsid w:val="00A97BAD"/>
    <w:rsid w:val="00AA40C3"/>
    <w:rsid w:val="00AA79BF"/>
    <w:rsid w:val="00AB1A1A"/>
    <w:rsid w:val="00AB5C53"/>
    <w:rsid w:val="00AC3707"/>
    <w:rsid w:val="00AC38BC"/>
    <w:rsid w:val="00AC50A6"/>
    <w:rsid w:val="00AD3D92"/>
    <w:rsid w:val="00AD432E"/>
    <w:rsid w:val="00AE2338"/>
    <w:rsid w:val="00B0078E"/>
    <w:rsid w:val="00B03643"/>
    <w:rsid w:val="00B04EAF"/>
    <w:rsid w:val="00B07861"/>
    <w:rsid w:val="00B11F26"/>
    <w:rsid w:val="00B20D51"/>
    <w:rsid w:val="00B21723"/>
    <w:rsid w:val="00B218AF"/>
    <w:rsid w:val="00B21D13"/>
    <w:rsid w:val="00B44019"/>
    <w:rsid w:val="00B459EB"/>
    <w:rsid w:val="00B633AA"/>
    <w:rsid w:val="00B638A1"/>
    <w:rsid w:val="00B6708B"/>
    <w:rsid w:val="00B70AC0"/>
    <w:rsid w:val="00B72170"/>
    <w:rsid w:val="00B738E1"/>
    <w:rsid w:val="00B73A90"/>
    <w:rsid w:val="00B75A05"/>
    <w:rsid w:val="00B82D82"/>
    <w:rsid w:val="00B8553A"/>
    <w:rsid w:val="00B93A2E"/>
    <w:rsid w:val="00B962F7"/>
    <w:rsid w:val="00B97A7F"/>
    <w:rsid w:val="00BA0971"/>
    <w:rsid w:val="00BA1272"/>
    <w:rsid w:val="00BB2AFA"/>
    <w:rsid w:val="00BC4827"/>
    <w:rsid w:val="00BD347A"/>
    <w:rsid w:val="00BD362B"/>
    <w:rsid w:val="00BD5A24"/>
    <w:rsid w:val="00BF5B77"/>
    <w:rsid w:val="00C00289"/>
    <w:rsid w:val="00C05F0D"/>
    <w:rsid w:val="00C10307"/>
    <w:rsid w:val="00C2027B"/>
    <w:rsid w:val="00C26169"/>
    <w:rsid w:val="00C423AA"/>
    <w:rsid w:val="00C4281E"/>
    <w:rsid w:val="00C45B19"/>
    <w:rsid w:val="00C45D3F"/>
    <w:rsid w:val="00C73754"/>
    <w:rsid w:val="00C77E25"/>
    <w:rsid w:val="00C87624"/>
    <w:rsid w:val="00C91BAC"/>
    <w:rsid w:val="00C921BA"/>
    <w:rsid w:val="00C94037"/>
    <w:rsid w:val="00C97E26"/>
    <w:rsid w:val="00CA125C"/>
    <w:rsid w:val="00CA2216"/>
    <w:rsid w:val="00CA2F56"/>
    <w:rsid w:val="00CA65ED"/>
    <w:rsid w:val="00CB1213"/>
    <w:rsid w:val="00CC6237"/>
    <w:rsid w:val="00CC78B2"/>
    <w:rsid w:val="00CD1B56"/>
    <w:rsid w:val="00CE0036"/>
    <w:rsid w:val="00CE5872"/>
    <w:rsid w:val="00CF23F3"/>
    <w:rsid w:val="00CF35C1"/>
    <w:rsid w:val="00D04746"/>
    <w:rsid w:val="00D04D15"/>
    <w:rsid w:val="00D101A4"/>
    <w:rsid w:val="00D1100F"/>
    <w:rsid w:val="00D11279"/>
    <w:rsid w:val="00D179CE"/>
    <w:rsid w:val="00D271CA"/>
    <w:rsid w:val="00D3620C"/>
    <w:rsid w:val="00D41DA3"/>
    <w:rsid w:val="00D4679F"/>
    <w:rsid w:val="00D519BE"/>
    <w:rsid w:val="00D55FD1"/>
    <w:rsid w:val="00D560B7"/>
    <w:rsid w:val="00D5647E"/>
    <w:rsid w:val="00D6541A"/>
    <w:rsid w:val="00D7226E"/>
    <w:rsid w:val="00D8273E"/>
    <w:rsid w:val="00D8470E"/>
    <w:rsid w:val="00D85536"/>
    <w:rsid w:val="00DA0403"/>
    <w:rsid w:val="00DA13B2"/>
    <w:rsid w:val="00DA2BE0"/>
    <w:rsid w:val="00DA3BF4"/>
    <w:rsid w:val="00DA73D8"/>
    <w:rsid w:val="00DC1F2E"/>
    <w:rsid w:val="00DC22A9"/>
    <w:rsid w:val="00DC2B0E"/>
    <w:rsid w:val="00DC2B44"/>
    <w:rsid w:val="00DC6ED7"/>
    <w:rsid w:val="00DD0A51"/>
    <w:rsid w:val="00DD125A"/>
    <w:rsid w:val="00DE70F3"/>
    <w:rsid w:val="00DF0481"/>
    <w:rsid w:val="00DF0B98"/>
    <w:rsid w:val="00DF143B"/>
    <w:rsid w:val="00DF1A18"/>
    <w:rsid w:val="00E0170A"/>
    <w:rsid w:val="00E028F9"/>
    <w:rsid w:val="00E060B0"/>
    <w:rsid w:val="00E073E6"/>
    <w:rsid w:val="00E079B8"/>
    <w:rsid w:val="00E1253E"/>
    <w:rsid w:val="00E12BDA"/>
    <w:rsid w:val="00E140C7"/>
    <w:rsid w:val="00E1764E"/>
    <w:rsid w:val="00E24F1D"/>
    <w:rsid w:val="00E25A5F"/>
    <w:rsid w:val="00E25FBF"/>
    <w:rsid w:val="00E33E12"/>
    <w:rsid w:val="00E42396"/>
    <w:rsid w:val="00E45331"/>
    <w:rsid w:val="00E47FE3"/>
    <w:rsid w:val="00E522B3"/>
    <w:rsid w:val="00E52575"/>
    <w:rsid w:val="00E6093A"/>
    <w:rsid w:val="00E60E3B"/>
    <w:rsid w:val="00E6363E"/>
    <w:rsid w:val="00E6634A"/>
    <w:rsid w:val="00E70BCC"/>
    <w:rsid w:val="00E80778"/>
    <w:rsid w:val="00E81880"/>
    <w:rsid w:val="00E94E32"/>
    <w:rsid w:val="00EB2AF5"/>
    <w:rsid w:val="00EC1F0B"/>
    <w:rsid w:val="00EC3580"/>
    <w:rsid w:val="00EC3ABC"/>
    <w:rsid w:val="00EC663E"/>
    <w:rsid w:val="00EC7BCE"/>
    <w:rsid w:val="00ED2700"/>
    <w:rsid w:val="00ED673A"/>
    <w:rsid w:val="00EE0B48"/>
    <w:rsid w:val="00EE6B59"/>
    <w:rsid w:val="00EF7187"/>
    <w:rsid w:val="00EF7FFB"/>
    <w:rsid w:val="00F04791"/>
    <w:rsid w:val="00F07C29"/>
    <w:rsid w:val="00F14432"/>
    <w:rsid w:val="00F14EC5"/>
    <w:rsid w:val="00F202F0"/>
    <w:rsid w:val="00F31048"/>
    <w:rsid w:val="00F35F9A"/>
    <w:rsid w:val="00F46F89"/>
    <w:rsid w:val="00F56D33"/>
    <w:rsid w:val="00F65BAF"/>
    <w:rsid w:val="00F8049C"/>
    <w:rsid w:val="00F901BF"/>
    <w:rsid w:val="00F97D66"/>
    <w:rsid w:val="00FA10A0"/>
    <w:rsid w:val="00FA2DAB"/>
    <w:rsid w:val="00FA7783"/>
    <w:rsid w:val="00FA79E3"/>
    <w:rsid w:val="00FC488B"/>
    <w:rsid w:val="00FC5414"/>
    <w:rsid w:val="00FF1DD0"/>
    <w:rsid w:val="00FF5986"/>
    <w:rsid w:val="03832A6E"/>
    <w:rsid w:val="03E03D61"/>
    <w:rsid w:val="03E17788"/>
    <w:rsid w:val="09054862"/>
    <w:rsid w:val="09141947"/>
    <w:rsid w:val="0AAE6BF0"/>
    <w:rsid w:val="0B6043FA"/>
    <w:rsid w:val="0C46272B"/>
    <w:rsid w:val="0DC66426"/>
    <w:rsid w:val="0F9C506B"/>
    <w:rsid w:val="101F3082"/>
    <w:rsid w:val="10907AAA"/>
    <w:rsid w:val="121A129A"/>
    <w:rsid w:val="12E34725"/>
    <w:rsid w:val="144A7F4A"/>
    <w:rsid w:val="163C5621"/>
    <w:rsid w:val="18AB4E55"/>
    <w:rsid w:val="18BB7BFF"/>
    <w:rsid w:val="1936718D"/>
    <w:rsid w:val="1AA72BF2"/>
    <w:rsid w:val="1C47468D"/>
    <w:rsid w:val="1C8E7BE0"/>
    <w:rsid w:val="1D0A3BBC"/>
    <w:rsid w:val="1D375EDF"/>
    <w:rsid w:val="1D954F84"/>
    <w:rsid w:val="1E9D39E6"/>
    <w:rsid w:val="1EA2513E"/>
    <w:rsid w:val="1EC51E9B"/>
    <w:rsid w:val="1F820D6C"/>
    <w:rsid w:val="1FFB1919"/>
    <w:rsid w:val="22763FD2"/>
    <w:rsid w:val="22AC3393"/>
    <w:rsid w:val="23AB72AF"/>
    <w:rsid w:val="25FC13BE"/>
    <w:rsid w:val="26C87795"/>
    <w:rsid w:val="2AD369B0"/>
    <w:rsid w:val="2EE2499A"/>
    <w:rsid w:val="300A083C"/>
    <w:rsid w:val="30A56284"/>
    <w:rsid w:val="31C337C4"/>
    <w:rsid w:val="321A2004"/>
    <w:rsid w:val="329863B7"/>
    <w:rsid w:val="3462733F"/>
    <w:rsid w:val="37571C86"/>
    <w:rsid w:val="39622120"/>
    <w:rsid w:val="3AFC0047"/>
    <w:rsid w:val="3BD11487"/>
    <w:rsid w:val="3C4932A2"/>
    <w:rsid w:val="3CAB5119"/>
    <w:rsid w:val="3D20233A"/>
    <w:rsid w:val="3F2100CD"/>
    <w:rsid w:val="410D73A4"/>
    <w:rsid w:val="418B32CD"/>
    <w:rsid w:val="42F00D2B"/>
    <w:rsid w:val="43222A6E"/>
    <w:rsid w:val="43EB7955"/>
    <w:rsid w:val="456D21BF"/>
    <w:rsid w:val="46577FB0"/>
    <w:rsid w:val="488B42A9"/>
    <w:rsid w:val="4AB60F8C"/>
    <w:rsid w:val="4C336BE4"/>
    <w:rsid w:val="4C5746F8"/>
    <w:rsid w:val="4CB75041"/>
    <w:rsid w:val="4D716758"/>
    <w:rsid w:val="4EBD3A21"/>
    <w:rsid w:val="4ECA741E"/>
    <w:rsid w:val="4F337AD0"/>
    <w:rsid w:val="50590717"/>
    <w:rsid w:val="54032BE0"/>
    <w:rsid w:val="54B828F0"/>
    <w:rsid w:val="5648231D"/>
    <w:rsid w:val="56F01999"/>
    <w:rsid w:val="5751442E"/>
    <w:rsid w:val="586A283C"/>
    <w:rsid w:val="590C7551"/>
    <w:rsid w:val="59E675AF"/>
    <w:rsid w:val="5ED9390A"/>
    <w:rsid w:val="60515E1F"/>
    <w:rsid w:val="63E24F19"/>
    <w:rsid w:val="64C3199B"/>
    <w:rsid w:val="6652008C"/>
    <w:rsid w:val="66C3109B"/>
    <w:rsid w:val="67DE5ACB"/>
    <w:rsid w:val="69932F5D"/>
    <w:rsid w:val="6C11339C"/>
    <w:rsid w:val="6C6228AA"/>
    <w:rsid w:val="6D2712EB"/>
    <w:rsid w:val="6E4552A8"/>
    <w:rsid w:val="6F621B23"/>
    <w:rsid w:val="701E6F7A"/>
    <w:rsid w:val="70D33C80"/>
    <w:rsid w:val="70E81CF8"/>
    <w:rsid w:val="725432BE"/>
    <w:rsid w:val="75E74338"/>
    <w:rsid w:val="7705572C"/>
    <w:rsid w:val="7716104D"/>
    <w:rsid w:val="773D456A"/>
    <w:rsid w:val="777B8007"/>
    <w:rsid w:val="7817426C"/>
    <w:rsid w:val="79D400E7"/>
    <w:rsid w:val="7ADE3DF4"/>
    <w:rsid w:val="7B891500"/>
    <w:rsid w:val="7C8B2ACC"/>
    <w:rsid w:val="ED4FA0CF"/>
    <w:rsid w:val="FAFFF4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locked/>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8"/>
    <w:unhideWhenUsed/>
    <w:qFormat/>
    <w:locked/>
    <w:uiPriority w:val="0"/>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5"/>
    <w:qFormat/>
    <w:uiPriority w:val="0"/>
    <w:pPr>
      <w:widowControl/>
      <w:spacing w:before="180" w:after="180"/>
      <w:jc w:val="left"/>
    </w:pPr>
    <w:rPr>
      <w:rFonts w:asciiTheme="minorHAnsi" w:hAnsiTheme="minorHAnsi" w:eastAsiaTheme="minorEastAsia" w:cstheme="minorBidi"/>
      <w:kern w:val="0"/>
      <w:sz w:val="24"/>
      <w:szCs w:val="24"/>
      <w:lang w:eastAsia="en-US"/>
    </w:rPr>
  </w:style>
  <w:style w:type="paragraph" w:styleId="5">
    <w:name w:val="Balloon Text"/>
    <w:basedOn w:val="1"/>
    <w:link w:val="14"/>
    <w:semiHidden/>
    <w:qFormat/>
    <w:uiPriority w:val="99"/>
    <w:rPr>
      <w:sz w:val="18"/>
      <w:szCs w:val="18"/>
    </w:rPr>
  </w:style>
  <w:style w:type="paragraph" w:styleId="6">
    <w:name w:val="footer"/>
    <w:basedOn w:val="1"/>
    <w:link w:val="13"/>
    <w:semiHidden/>
    <w:qFormat/>
    <w:uiPriority w:val="99"/>
    <w:pPr>
      <w:tabs>
        <w:tab w:val="center" w:pos="4153"/>
        <w:tab w:val="right" w:pos="8306"/>
      </w:tabs>
      <w:snapToGrid w:val="0"/>
      <w:jc w:val="left"/>
    </w:pPr>
    <w:rPr>
      <w:sz w:val="18"/>
      <w:szCs w:val="18"/>
    </w:rPr>
  </w:style>
  <w:style w:type="paragraph" w:styleId="7">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semiHidden/>
    <w:unhideWhenUsed/>
    <w:qFormat/>
    <w:uiPriority w:val="99"/>
    <w:rPr>
      <w:color w:val="0000FF"/>
      <w:u w:val="single"/>
    </w:rPr>
  </w:style>
  <w:style w:type="character" w:customStyle="1" w:styleId="12">
    <w:name w:val="页眉 Char"/>
    <w:basedOn w:val="10"/>
    <w:link w:val="7"/>
    <w:semiHidden/>
    <w:qFormat/>
    <w:locked/>
    <w:uiPriority w:val="99"/>
    <w:rPr>
      <w:rFonts w:cs="Times New Roman"/>
      <w:sz w:val="18"/>
      <w:szCs w:val="18"/>
    </w:rPr>
  </w:style>
  <w:style w:type="character" w:customStyle="1" w:styleId="13">
    <w:name w:val="页脚 Char"/>
    <w:basedOn w:val="10"/>
    <w:link w:val="6"/>
    <w:semiHidden/>
    <w:qFormat/>
    <w:locked/>
    <w:uiPriority w:val="99"/>
    <w:rPr>
      <w:rFonts w:cs="Times New Roman"/>
      <w:sz w:val="18"/>
      <w:szCs w:val="18"/>
    </w:rPr>
  </w:style>
  <w:style w:type="character" w:customStyle="1" w:styleId="14">
    <w:name w:val="批注框文本 Char"/>
    <w:basedOn w:val="10"/>
    <w:link w:val="5"/>
    <w:semiHidden/>
    <w:qFormat/>
    <w:locked/>
    <w:uiPriority w:val="99"/>
    <w:rPr>
      <w:rFonts w:cs="Times New Roman"/>
      <w:sz w:val="18"/>
      <w:szCs w:val="18"/>
    </w:rPr>
  </w:style>
  <w:style w:type="character" w:customStyle="1" w:styleId="15">
    <w:name w:val="正文文本 Char"/>
    <w:basedOn w:val="10"/>
    <w:link w:val="4"/>
    <w:qFormat/>
    <w:uiPriority w:val="0"/>
    <w:rPr>
      <w:rFonts w:asciiTheme="minorHAnsi" w:hAnsiTheme="minorHAnsi" w:eastAsiaTheme="minorEastAsia" w:cstheme="minorBidi"/>
      <w:sz w:val="24"/>
      <w:szCs w:val="24"/>
      <w:lang w:eastAsia="en-US"/>
    </w:rPr>
  </w:style>
  <w:style w:type="paragraph" w:customStyle="1" w:styleId="16">
    <w:name w:val="题注1"/>
    <w:basedOn w:val="1"/>
    <w:qFormat/>
    <w:uiPriority w:val="0"/>
    <w:pPr>
      <w:widowControl/>
      <w:spacing w:after="120"/>
      <w:jc w:val="left"/>
    </w:pPr>
    <w:rPr>
      <w:rFonts w:asciiTheme="minorHAnsi" w:hAnsiTheme="minorHAnsi" w:eastAsiaTheme="minorEastAsia" w:cstheme="minorBidi"/>
      <w:i/>
      <w:kern w:val="0"/>
      <w:sz w:val="24"/>
      <w:szCs w:val="24"/>
      <w:lang w:eastAsia="en-US"/>
    </w:rPr>
  </w:style>
  <w:style w:type="character" w:customStyle="1" w:styleId="17">
    <w:name w:val="标题 1 Char"/>
    <w:basedOn w:val="10"/>
    <w:link w:val="2"/>
    <w:qFormat/>
    <w:uiPriority w:val="9"/>
    <w:rPr>
      <w:rFonts w:ascii="宋体" w:hAnsi="宋体" w:cs="宋体"/>
      <w:b/>
      <w:bCs/>
      <w:kern w:val="36"/>
      <w:sz w:val="48"/>
      <w:szCs w:val="48"/>
    </w:rPr>
  </w:style>
  <w:style w:type="character" w:customStyle="1" w:styleId="18">
    <w:name w:val="标题 3 Char"/>
    <w:basedOn w:val="10"/>
    <w:link w:val="3"/>
    <w:qFormat/>
    <w:uiPriority w:val="0"/>
    <w:rPr>
      <w:b/>
      <w:bCs/>
      <w:kern w:val="2"/>
      <w:sz w:val="32"/>
      <w:szCs w:val="32"/>
    </w:rPr>
  </w:style>
  <w:style w:type="character" w:customStyle="1" w:styleId="19">
    <w:name w:val="NormalCharacter"/>
    <w:semiHidden/>
    <w:qFormat/>
    <w:uiPriority w:val="0"/>
  </w:style>
  <w:style w:type="paragraph" w:styleId="20">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3</Pages>
  <Words>298</Words>
  <Characters>1704</Characters>
  <Lines>14</Lines>
  <Paragraphs>3</Paragraphs>
  <TotalTime>0</TotalTime>
  <ScaleCrop>false</ScaleCrop>
  <LinksUpToDate>false</LinksUpToDate>
  <CharactersWithSpaces>1999</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2024-05-06T13:18:00Z</dcterms:created>
  <dc:creator>USER-</dc:creator>
  <cp:lastModifiedBy>魏念欣</cp:lastModifiedBy>
  <cp:lastPrinted>2022-04-07T02:45:00Z</cp:lastPrinted>
  <dcterms:modified xsi:type="dcterms:W3CDTF">2024-05-20T10:10:26Z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21CCBF81E4A84FD1BB448DBED8A4D424_13</vt:lpwstr>
  </property>
</Properties>
</file>