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E1" w:rsidRDefault="008B585B" w:rsidP="000827E1">
      <w:pPr>
        <w:rPr>
          <w:rFonts w:ascii="仿宋_GB2312" w:eastAsia="仿宋_GB2312"/>
          <w:sz w:val="32"/>
          <w:szCs w:val="32"/>
        </w:rPr>
      </w:pPr>
      <w:r>
        <w:rPr>
          <w:rFonts w:ascii="仿宋_GB2312" w:eastAsia="仿宋_GB2312" w:hint="eastAsia"/>
          <w:sz w:val="32"/>
          <w:szCs w:val="32"/>
        </w:rPr>
        <w:t>附件</w:t>
      </w:r>
      <w:r w:rsidR="00C6049C">
        <w:rPr>
          <w:rFonts w:ascii="仿宋_GB2312" w:eastAsia="仿宋_GB2312" w:hint="eastAsia"/>
          <w:sz w:val="32"/>
          <w:szCs w:val="32"/>
        </w:rPr>
        <w:t>1-8</w:t>
      </w:r>
    </w:p>
    <w:p w:rsidR="000827E1" w:rsidRPr="000827E1" w:rsidRDefault="000827E1" w:rsidP="000827E1">
      <w:pPr>
        <w:rPr>
          <w:rFonts w:ascii="仿宋_GB2312" w:eastAsia="仿宋_GB2312"/>
          <w:sz w:val="32"/>
          <w:szCs w:val="32"/>
        </w:rPr>
      </w:pPr>
    </w:p>
    <w:p w:rsidR="008B585B" w:rsidRPr="00DB6BEC" w:rsidRDefault="00BE510C" w:rsidP="00C57287">
      <w:pPr>
        <w:jc w:val="center"/>
        <w:rPr>
          <w:rFonts w:ascii="宋体" w:hAnsi="宋体"/>
          <w:b/>
          <w:sz w:val="36"/>
          <w:szCs w:val="36"/>
        </w:rPr>
      </w:pPr>
      <w:r w:rsidRPr="00DB6BEC">
        <w:rPr>
          <w:rFonts w:ascii="宋体" w:hAnsi="宋体" w:hint="eastAsia"/>
          <w:b/>
          <w:sz w:val="36"/>
          <w:szCs w:val="36"/>
        </w:rPr>
        <w:t>关于</w:t>
      </w:r>
      <w:r w:rsidR="0003780F">
        <w:rPr>
          <w:rFonts w:ascii="宋体" w:hAnsi="宋体" w:hint="eastAsia"/>
          <w:b/>
          <w:sz w:val="36"/>
          <w:szCs w:val="36"/>
        </w:rPr>
        <w:t>梁河县总工会</w:t>
      </w:r>
    </w:p>
    <w:p w:rsidR="00F44144" w:rsidRPr="00DB6BEC" w:rsidRDefault="0003780F" w:rsidP="00C57287">
      <w:pPr>
        <w:jc w:val="center"/>
        <w:rPr>
          <w:rFonts w:ascii="宋体" w:hAnsi="宋体"/>
          <w:b/>
          <w:sz w:val="36"/>
          <w:szCs w:val="36"/>
        </w:rPr>
      </w:pPr>
      <w:r>
        <w:rPr>
          <w:rFonts w:ascii="宋体" w:hAnsi="宋体" w:hint="eastAsia"/>
          <w:b/>
          <w:sz w:val="36"/>
          <w:szCs w:val="36"/>
        </w:rPr>
        <w:t>2017</w:t>
      </w:r>
      <w:r w:rsidR="00F44144" w:rsidRPr="00DB6BEC">
        <w:rPr>
          <w:rFonts w:ascii="宋体" w:hAnsi="宋体" w:hint="eastAsia"/>
          <w:b/>
          <w:sz w:val="36"/>
          <w:szCs w:val="36"/>
        </w:rPr>
        <w:t>年部门预算</w:t>
      </w:r>
      <w:r w:rsidR="00484975" w:rsidRPr="00DB6BEC">
        <w:rPr>
          <w:rFonts w:ascii="宋体" w:hAnsi="宋体" w:hint="eastAsia"/>
          <w:b/>
          <w:sz w:val="36"/>
          <w:szCs w:val="36"/>
        </w:rPr>
        <w:t>编制</w:t>
      </w:r>
      <w:r w:rsidR="00BE510C" w:rsidRPr="00DB6BEC">
        <w:rPr>
          <w:rFonts w:ascii="宋体" w:hAnsi="宋体" w:hint="eastAsia"/>
          <w:b/>
          <w:sz w:val="36"/>
          <w:szCs w:val="36"/>
        </w:rPr>
        <w:t>的</w:t>
      </w:r>
      <w:r w:rsidR="00484975" w:rsidRPr="00DB6BEC">
        <w:rPr>
          <w:rFonts w:ascii="宋体" w:hAnsi="宋体" w:hint="eastAsia"/>
          <w:b/>
          <w:sz w:val="36"/>
          <w:szCs w:val="36"/>
        </w:rPr>
        <w:t>说明</w:t>
      </w:r>
    </w:p>
    <w:p w:rsidR="00B01DA1" w:rsidRDefault="002E3EAD" w:rsidP="00B01DA1">
      <w:pPr>
        <w:pStyle w:val="a3"/>
        <w:adjustRightInd w:val="0"/>
        <w:snapToGrid w:val="0"/>
        <w:spacing w:beforeLines="0" w:line="600" w:lineRule="exact"/>
        <w:rPr>
          <w:rFonts w:ascii="宋体" w:eastAsia="宋体" w:hAnsi="宋体"/>
          <w:b/>
          <w:sz w:val="44"/>
          <w:szCs w:val="44"/>
        </w:rPr>
      </w:pPr>
      <w:r>
        <w:rPr>
          <w:rFonts w:ascii="宋体" w:eastAsia="宋体" w:hAnsi="宋体" w:hint="eastAsia"/>
          <w:b/>
          <w:sz w:val="44"/>
          <w:szCs w:val="44"/>
        </w:rPr>
        <w:t xml:space="preserve">    </w:t>
      </w:r>
    </w:p>
    <w:p w:rsidR="00484975" w:rsidRPr="000D5897" w:rsidRDefault="00484975" w:rsidP="000D5897">
      <w:pPr>
        <w:spacing w:line="600" w:lineRule="exact"/>
        <w:ind w:firstLineChars="200" w:firstLine="602"/>
        <w:rPr>
          <w:rFonts w:ascii="黑体" w:eastAsia="黑体" w:hAnsi="黑体"/>
          <w:b/>
          <w:sz w:val="30"/>
          <w:szCs w:val="30"/>
        </w:rPr>
      </w:pPr>
      <w:r w:rsidRPr="000D5897">
        <w:rPr>
          <w:rFonts w:ascii="黑体" w:eastAsia="黑体" w:hAnsi="黑体" w:hint="eastAsia"/>
          <w:b/>
          <w:sz w:val="30"/>
          <w:szCs w:val="30"/>
        </w:rPr>
        <w:t>一、基本职能</w:t>
      </w:r>
      <w:r w:rsidR="00B813AE" w:rsidRPr="000D5897">
        <w:rPr>
          <w:rFonts w:ascii="黑体" w:eastAsia="黑体" w:hAnsi="黑体" w:hint="eastAsia"/>
          <w:b/>
          <w:sz w:val="30"/>
          <w:szCs w:val="30"/>
        </w:rPr>
        <w:t>及</w:t>
      </w:r>
      <w:r w:rsidR="00D0135C" w:rsidRPr="000D5897">
        <w:rPr>
          <w:rFonts w:ascii="黑体" w:eastAsia="黑体" w:hAnsi="黑体" w:hint="eastAsia"/>
          <w:b/>
          <w:sz w:val="30"/>
          <w:szCs w:val="30"/>
        </w:rPr>
        <w:t>主要工作</w:t>
      </w:r>
    </w:p>
    <w:p w:rsidR="0070608A"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hint="eastAsia"/>
          <w:kern w:val="0"/>
          <w:sz w:val="32"/>
          <w:szCs w:val="32"/>
        </w:rPr>
        <w:t>中国工会是中国共产党领导的职工自愿结合的工人阶级群众组织，是党联系职工群众的桥梁和纽带，是国家政权的重要社会支柱，是会员和职工群众合法权益的代表者和维护者。</w:t>
      </w:r>
    </w:p>
    <w:p w:rsidR="0070608A" w:rsidRPr="00450138"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hint="eastAsia"/>
          <w:kern w:val="0"/>
          <w:sz w:val="32"/>
          <w:szCs w:val="32"/>
        </w:rPr>
        <w:t>县总工会是全县各级工会的领导机关，由县委和市总工会领导。其主要职责是：</w:t>
      </w:r>
    </w:p>
    <w:p w:rsidR="0070608A" w:rsidRPr="00450138"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kern w:val="0"/>
          <w:sz w:val="32"/>
          <w:szCs w:val="32"/>
        </w:rPr>
        <w:t>1</w:t>
      </w:r>
      <w:r w:rsidRPr="00450138">
        <w:rPr>
          <w:rFonts w:ascii="仿宋_GB2312" w:eastAsia="仿宋_GB2312" w:hAnsi="宋体" w:cs="宋体" w:hint="eastAsia"/>
          <w:kern w:val="0"/>
          <w:sz w:val="32"/>
          <w:szCs w:val="32"/>
        </w:rPr>
        <w:t>、贯彻执行党的路线、方针、政策和上级工会及全县工会代表大会的决议，根据县委、市总工会的部署，结合我县实际，确定工会的指导思想、目标任务，指导全县各级工会开展好各项工作和活动。开展工运理论研究，全心全意为基层、为职工服务。</w:t>
      </w:r>
    </w:p>
    <w:p w:rsidR="0070608A" w:rsidRPr="00450138"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kern w:val="0"/>
          <w:sz w:val="32"/>
          <w:szCs w:val="32"/>
        </w:rPr>
        <w:t>2</w:t>
      </w:r>
      <w:r w:rsidRPr="00450138">
        <w:rPr>
          <w:rFonts w:ascii="仿宋_GB2312" w:eastAsia="仿宋_GB2312" w:hAnsi="宋体" w:cs="宋体" w:hint="eastAsia"/>
          <w:kern w:val="0"/>
          <w:sz w:val="32"/>
          <w:szCs w:val="32"/>
        </w:rPr>
        <w:t>、加强工会自身改革和建设，督促全县党政群机关、企事业单位和各类新建企业（新经济组织）依法建立和完善工会组织，督促、指导基层工会按期换届，坚定不移地推动党的全心全意依靠工人阶级根本指导方针的贯彻落实；在维护全国人民总体利益的同时，代表和维护职工的合法权益，进一步突出和履行维护职能，更好地保护、调动和发挥广大职工的积极性、创造性。协助</w:t>
      </w:r>
      <w:r w:rsidRPr="00450138">
        <w:rPr>
          <w:rFonts w:ascii="仿宋_GB2312" w:eastAsia="仿宋_GB2312" w:hAnsi="宋体" w:cs="宋体" w:hint="eastAsia"/>
          <w:kern w:val="0"/>
          <w:sz w:val="32"/>
          <w:szCs w:val="32"/>
        </w:rPr>
        <w:lastRenderedPageBreak/>
        <w:t>各级党委做好工会干部的配备、管理和培训工作。围绕有关职工合法权益的重大问题进行调查研究，向县委、县政府和市总工会反映职工群众的思想、愿望和要求，提出处理意见。指导考核全县各级工会“职工之家”建设，增强基层工会活力，提高工会工作整体水平。</w:t>
      </w:r>
    </w:p>
    <w:p w:rsidR="0070608A" w:rsidRPr="00450138"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kern w:val="0"/>
          <w:sz w:val="32"/>
          <w:szCs w:val="32"/>
        </w:rPr>
        <w:t>3</w:t>
      </w:r>
      <w:r w:rsidRPr="00450138">
        <w:rPr>
          <w:rFonts w:ascii="仿宋_GB2312" w:eastAsia="仿宋_GB2312" w:hAnsi="宋体" w:cs="宋体" w:hint="eastAsia"/>
          <w:kern w:val="0"/>
          <w:sz w:val="32"/>
          <w:szCs w:val="32"/>
        </w:rPr>
        <w:t>、帮助和指导各级工会依照法律规定通过职工代表大会和其他形式，组织职工参与本单位的民主选举、民主决策、民主管理和民主监督，通过平等协商和集体合同制度，协调劳动关系，维护职工劳动权益；参与有关涉及职工切身利益的有关组织机构和工作会议，参与有关政策的制定和修改，参与职工重大伤亡事故的调查处理。</w:t>
      </w:r>
    </w:p>
    <w:p w:rsidR="0070608A" w:rsidRPr="00450138"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kern w:val="0"/>
          <w:sz w:val="32"/>
          <w:szCs w:val="32"/>
        </w:rPr>
        <w:t>4</w:t>
      </w:r>
      <w:r w:rsidRPr="00450138">
        <w:rPr>
          <w:rFonts w:ascii="仿宋_GB2312" w:eastAsia="仿宋_GB2312" w:hAnsi="宋体" w:cs="宋体" w:hint="eastAsia"/>
          <w:kern w:val="0"/>
          <w:sz w:val="32"/>
          <w:szCs w:val="32"/>
        </w:rPr>
        <w:t>、组织和动员职工围绕经济建设中心，积极开展经济技术创新工程、劳动竞赛，合理化建议，技术革新等活动，努力完成生产和工作任务，促进县域经济和社会发展目标任务的实现。组织开展“创建学习型组织，争做知识型技能型职工”活动教育职工不断提高思想道德、技术业务和科学文化素质，培养和造就有理想、有道德、有文化、有纪律的职工队伍，推动全县三个文明建设协调发展，为构建和谐宜宾县作贡献。</w:t>
      </w:r>
    </w:p>
    <w:p w:rsidR="0070608A" w:rsidRPr="00450138"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kern w:val="0"/>
          <w:sz w:val="32"/>
          <w:szCs w:val="32"/>
        </w:rPr>
        <w:t>5</w:t>
      </w:r>
      <w:r w:rsidRPr="00450138">
        <w:rPr>
          <w:rFonts w:ascii="仿宋_GB2312" w:eastAsia="仿宋_GB2312" w:hAnsi="宋体" w:cs="宋体" w:hint="eastAsia"/>
          <w:kern w:val="0"/>
          <w:sz w:val="32"/>
          <w:szCs w:val="32"/>
        </w:rPr>
        <w:t>、协助县政府做好劳动模范的推荐、评选和管理工作；协助全国总工会、省总工会、市总工会做好县内全国劳动模范、五一劳动奖章（奖状）获得者和省劳动模范、省先进集体（工作者）、</w:t>
      </w:r>
      <w:r w:rsidRPr="00450138">
        <w:rPr>
          <w:rFonts w:ascii="仿宋_GB2312" w:eastAsia="仿宋_GB2312" w:hAnsi="宋体" w:cs="宋体" w:hint="eastAsia"/>
          <w:kern w:val="0"/>
          <w:sz w:val="32"/>
          <w:szCs w:val="32"/>
        </w:rPr>
        <w:lastRenderedPageBreak/>
        <w:t>市劳动模范的管理工作。协助县政府做好县级劳动模范、先进工作者（先进集体）的推荐、评选和管理工作。</w:t>
      </w:r>
    </w:p>
    <w:p w:rsidR="0070608A" w:rsidRPr="00690ED9" w:rsidRDefault="0070608A" w:rsidP="0070608A">
      <w:pPr>
        <w:widowControl/>
        <w:ind w:firstLineChars="200" w:firstLine="640"/>
        <w:jc w:val="left"/>
        <w:rPr>
          <w:rFonts w:ascii="仿宋_GB2312" w:eastAsia="仿宋_GB2312" w:hAnsi="宋体" w:cs="宋体"/>
          <w:kern w:val="0"/>
          <w:sz w:val="32"/>
          <w:szCs w:val="32"/>
        </w:rPr>
      </w:pPr>
      <w:r w:rsidRPr="00450138">
        <w:rPr>
          <w:rFonts w:ascii="仿宋_GB2312" w:eastAsia="仿宋_GB2312" w:hAnsi="宋体" w:cs="宋体"/>
          <w:kern w:val="0"/>
          <w:sz w:val="32"/>
          <w:szCs w:val="32"/>
        </w:rPr>
        <w:t>6</w:t>
      </w:r>
      <w:r w:rsidRPr="00450138">
        <w:rPr>
          <w:rFonts w:ascii="仿宋_GB2312" w:eastAsia="仿宋_GB2312" w:hAnsi="宋体" w:cs="宋体" w:hint="eastAsia"/>
          <w:kern w:val="0"/>
          <w:sz w:val="32"/>
          <w:szCs w:val="32"/>
        </w:rPr>
        <w:t>、负责全县工会经费的收缴管理、审查、审计工作，管理全县工会资产，参与研究、制定兴办职工福利事业的有关制度和规定。</w:t>
      </w:r>
    </w:p>
    <w:p w:rsidR="002C25AF" w:rsidRDefault="00484975" w:rsidP="00862DE6">
      <w:pPr>
        <w:spacing w:line="600" w:lineRule="exact"/>
        <w:ind w:firstLineChars="200" w:firstLine="602"/>
        <w:rPr>
          <w:rFonts w:ascii="黑体" w:eastAsia="黑体" w:hAnsi="黑体"/>
          <w:b/>
          <w:sz w:val="30"/>
          <w:szCs w:val="30"/>
        </w:rPr>
      </w:pPr>
      <w:r w:rsidRPr="000D5897">
        <w:rPr>
          <w:rFonts w:ascii="黑体" w:eastAsia="黑体" w:hAnsi="黑体" w:hint="eastAsia"/>
          <w:b/>
          <w:sz w:val="30"/>
          <w:szCs w:val="30"/>
        </w:rPr>
        <w:t>二</w:t>
      </w:r>
      <w:r w:rsidR="00B01DA1" w:rsidRPr="000D5897">
        <w:rPr>
          <w:rFonts w:ascii="黑体" w:eastAsia="黑体" w:hAnsi="黑体" w:hint="eastAsia"/>
          <w:b/>
          <w:sz w:val="30"/>
          <w:szCs w:val="30"/>
        </w:rPr>
        <w:t>、</w:t>
      </w:r>
      <w:r w:rsidR="002C25AF">
        <w:rPr>
          <w:rFonts w:ascii="黑体" w:eastAsia="黑体" w:hAnsi="黑体" w:hint="eastAsia"/>
          <w:b/>
          <w:sz w:val="30"/>
          <w:szCs w:val="30"/>
        </w:rPr>
        <w:t>部门预算编制情况</w:t>
      </w:r>
    </w:p>
    <w:p w:rsidR="00862DE6" w:rsidRDefault="00862DE6" w:rsidP="00862DE6">
      <w:pPr>
        <w:pStyle w:val="a3"/>
        <w:adjustRightInd w:val="0"/>
        <w:snapToGrid w:val="0"/>
        <w:spacing w:before="93" w:line="600" w:lineRule="exact"/>
        <w:ind w:firstLineChars="200" w:firstLine="600"/>
      </w:pPr>
      <w:r>
        <w:rPr>
          <w:rFonts w:hint="eastAsia"/>
        </w:rPr>
        <w:t>梁河县总工会编制2017年部门预算的指导思想、</w:t>
      </w:r>
      <w:r w:rsidRPr="006D3D8E">
        <w:rPr>
          <w:rFonts w:hint="eastAsia"/>
        </w:rPr>
        <w:t>基本原则、编制方法、总体思路等</w:t>
      </w:r>
      <w:r>
        <w:rPr>
          <w:rFonts w:hint="eastAsia"/>
        </w:rPr>
        <w:t>内容。</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（一）指导思想</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   </w:t>
      </w:r>
      <w:r w:rsidRPr="000B7DEB">
        <w:rPr>
          <w:rFonts w:hint="eastAsia"/>
        </w:rPr>
        <w:t>着力优化财政支出结构，重点保障民生支出、项目支出，加快预算执行进度，促进经济结构调整和发展方式转变；着力强化预算刚性约束，严格预算执行管理，构建全面规范、公开透明的预算管理制度，提高资金使用效益，合理使用财政拨款，确保全年任务的完成。</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（二）基本原则</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1.依法理财原则。按照公开、公正、透明的要求，进一步规范预算编制、执行和监督行为，编制预算时做到符合国家法律法规。</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2.真实可靠原则。预算数据真实准确，程序合理合法。</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3.收支平衡原则。做到量入为出、收支平衡，坚持量力而行、统筹兼顾，严格控制一般性支出。</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lastRenderedPageBreak/>
        <w:t> </w:t>
      </w:r>
      <w:r w:rsidRPr="000B7DEB">
        <w:rPr>
          <w:rFonts w:hint="eastAsia"/>
        </w:rPr>
        <w:t>（三）预算编制方法</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主要包括:收入、基本支出和项目预算等内容。</w:t>
      </w:r>
      <w:r w:rsidRPr="000B7DEB">
        <w:rPr>
          <w:rFonts w:hint="eastAsia"/>
        </w:rPr>
        <w:t> </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1.收入预算的编制。根据历年收入情况和下一年度收入增减变动因素，测算本部门取得的各项收入来源，收入预算要按收入类别逐项测算、编制。</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2.基本支出预算的编制。根据国家现有的经费政策和规定测算本部门的人员经费和公用经费；基本支出预算包括人员经费和公用经费。人员经费预算应按机构编制主管部门批准的人员编制内的实有人数和国家规定的工资、津贴、补贴标准测算。公用经费按照财政核定的公用经费单项定额标准和调整系数测算、编制。</w:t>
      </w:r>
      <w:r w:rsidRPr="000B7DEB">
        <w:rPr>
          <w:rFonts w:hint="eastAsia"/>
        </w:rPr>
        <w:t> </w:t>
      </w:r>
    </w:p>
    <w:p w:rsidR="00862DE6" w:rsidRDefault="00862DE6" w:rsidP="00862DE6">
      <w:pPr>
        <w:pStyle w:val="a3"/>
        <w:adjustRightInd w:val="0"/>
        <w:snapToGrid w:val="0"/>
        <w:spacing w:before="93" w:line="600" w:lineRule="exact"/>
        <w:ind w:firstLineChars="200" w:firstLine="600"/>
      </w:pPr>
      <w:r w:rsidRPr="000B7DEB">
        <w:rPr>
          <w:rFonts w:hint="eastAsia"/>
        </w:rPr>
        <w:t>3.项目预算的编制。项目预算包括:</w:t>
      </w:r>
      <w:r>
        <w:rPr>
          <w:rFonts w:hint="eastAsia"/>
        </w:rPr>
        <w:t>职工医疗互助及困难职工帮扶和春节送温暖经费。</w:t>
      </w:r>
    </w:p>
    <w:p w:rsidR="00862DE6" w:rsidRPr="000B7DEB" w:rsidRDefault="00862DE6" w:rsidP="00862DE6">
      <w:pPr>
        <w:pStyle w:val="a3"/>
        <w:adjustRightInd w:val="0"/>
        <w:snapToGrid w:val="0"/>
        <w:spacing w:before="93" w:line="600" w:lineRule="exact"/>
        <w:ind w:firstLineChars="200" w:firstLine="600"/>
      </w:pPr>
      <w:r w:rsidRPr="000B7DEB">
        <w:rPr>
          <w:rFonts w:hint="eastAsia"/>
        </w:rPr>
        <w:t>（四）总体思路</w:t>
      </w:r>
    </w:p>
    <w:p w:rsidR="00862DE6" w:rsidRDefault="00862DE6" w:rsidP="00862DE6">
      <w:pPr>
        <w:pStyle w:val="a3"/>
        <w:adjustRightInd w:val="0"/>
        <w:snapToGrid w:val="0"/>
        <w:spacing w:before="93" w:line="600" w:lineRule="exact"/>
        <w:ind w:firstLineChars="200" w:firstLine="600"/>
      </w:pPr>
      <w:r>
        <w:rPr>
          <w:rFonts w:hint="eastAsia"/>
        </w:rPr>
        <w:t>  </w:t>
      </w:r>
      <w:r w:rsidRPr="000B7DEB">
        <w:rPr>
          <w:rFonts w:hint="eastAsia"/>
        </w:rPr>
        <w:t>依据</w:t>
      </w:r>
      <w:r>
        <w:rPr>
          <w:rFonts w:hint="eastAsia"/>
        </w:rPr>
        <w:t>梁河县</w:t>
      </w:r>
      <w:r w:rsidRPr="000B7DEB">
        <w:rPr>
          <w:rFonts w:hint="eastAsia"/>
        </w:rPr>
        <w:t>财政局预算编制的总体要求，结合实际，做好部门预算。按照机构编制内实有人数编制人员和公用支出预算</w:t>
      </w:r>
    </w:p>
    <w:p w:rsidR="000D5897" w:rsidRDefault="002C25AF" w:rsidP="00862DE6">
      <w:pPr>
        <w:spacing w:line="600" w:lineRule="exact"/>
        <w:ind w:firstLineChars="200" w:firstLine="602"/>
        <w:rPr>
          <w:rFonts w:ascii="黑体" w:eastAsia="黑体" w:hAnsi="黑体"/>
          <w:b/>
          <w:sz w:val="30"/>
          <w:szCs w:val="30"/>
        </w:rPr>
      </w:pPr>
      <w:r>
        <w:rPr>
          <w:rFonts w:ascii="黑体" w:eastAsia="黑体" w:hAnsi="黑体" w:hint="eastAsia"/>
          <w:b/>
          <w:sz w:val="30"/>
          <w:szCs w:val="30"/>
        </w:rPr>
        <w:t>三、</w:t>
      </w:r>
      <w:r w:rsidR="00B01DA1" w:rsidRPr="000D5897">
        <w:rPr>
          <w:rFonts w:ascii="黑体" w:eastAsia="黑体" w:hAnsi="黑体" w:hint="eastAsia"/>
          <w:b/>
          <w:sz w:val="30"/>
          <w:szCs w:val="30"/>
        </w:rPr>
        <w:t>部门</w:t>
      </w:r>
      <w:r w:rsidR="00DA0BBD" w:rsidRPr="000D5897">
        <w:rPr>
          <w:rFonts w:ascii="黑体" w:eastAsia="黑体" w:hAnsi="黑体" w:hint="eastAsia"/>
          <w:b/>
          <w:sz w:val="30"/>
          <w:szCs w:val="30"/>
        </w:rPr>
        <w:t>基本情况</w:t>
      </w:r>
    </w:p>
    <w:p w:rsidR="00DA0BBD" w:rsidRPr="000D5897" w:rsidRDefault="00970FD0" w:rsidP="000D5897">
      <w:pPr>
        <w:spacing w:line="600" w:lineRule="exact"/>
        <w:ind w:firstLineChars="200" w:firstLine="600"/>
        <w:rPr>
          <w:rFonts w:ascii="仿宋_GB2312" w:eastAsia="仿宋_GB2312" w:hAnsi="Arial" w:cs="Arial"/>
          <w:kern w:val="0"/>
          <w:sz w:val="30"/>
          <w:szCs w:val="30"/>
        </w:rPr>
      </w:pPr>
      <w:r>
        <w:rPr>
          <w:rFonts w:ascii="仿宋_GB2312" w:eastAsia="仿宋_GB2312" w:hint="eastAsia"/>
          <w:sz w:val="30"/>
          <w:szCs w:val="30"/>
        </w:rPr>
        <w:t>纳入</w:t>
      </w:r>
      <w:r w:rsidR="0070608A">
        <w:rPr>
          <w:rFonts w:ascii="仿宋_GB2312" w:eastAsia="仿宋_GB2312" w:hint="eastAsia"/>
          <w:sz w:val="30"/>
          <w:szCs w:val="30"/>
        </w:rPr>
        <w:t>2017</w:t>
      </w:r>
      <w:r w:rsidR="00DA0BBD" w:rsidRPr="000D5897">
        <w:rPr>
          <w:rFonts w:ascii="仿宋_GB2312" w:eastAsia="仿宋_GB2312" w:hint="eastAsia"/>
          <w:sz w:val="30"/>
          <w:szCs w:val="30"/>
        </w:rPr>
        <w:t>年部门预算</w:t>
      </w:r>
      <w:r>
        <w:rPr>
          <w:rFonts w:ascii="仿宋_GB2312" w:eastAsia="仿宋_GB2312" w:hint="eastAsia"/>
          <w:sz w:val="30"/>
          <w:szCs w:val="30"/>
        </w:rPr>
        <w:t>编报的单位共</w:t>
      </w:r>
      <w:r w:rsidR="0070608A">
        <w:rPr>
          <w:rFonts w:ascii="仿宋_GB2312" w:eastAsia="仿宋_GB2312" w:hint="eastAsia"/>
          <w:sz w:val="30"/>
          <w:szCs w:val="30"/>
        </w:rPr>
        <w:t>1</w:t>
      </w:r>
      <w:r w:rsidR="00484975" w:rsidRPr="000D5897">
        <w:rPr>
          <w:rFonts w:ascii="仿宋_GB2312" w:eastAsia="仿宋_GB2312" w:hint="eastAsia"/>
          <w:sz w:val="30"/>
          <w:szCs w:val="30"/>
        </w:rPr>
        <w:t>个，</w:t>
      </w:r>
      <w:r w:rsidR="008D5A34">
        <w:rPr>
          <w:rFonts w:ascii="仿宋_GB2312" w:eastAsia="仿宋_GB2312" w:hint="eastAsia"/>
          <w:sz w:val="30"/>
          <w:szCs w:val="30"/>
        </w:rPr>
        <w:t>财政全供给单位</w:t>
      </w:r>
      <w:r w:rsidR="0070608A">
        <w:rPr>
          <w:rFonts w:ascii="仿宋_GB2312" w:eastAsia="仿宋_GB2312" w:hint="eastAsia"/>
          <w:sz w:val="30"/>
          <w:szCs w:val="30"/>
        </w:rPr>
        <w:t>1</w:t>
      </w:r>
      <w:r w:rsidR="008D5A34">
        <w:rPr>
          <w:rFonts w:ascii="仿宋_GB2312" w:eastAsia="仿宋_GB2312" w:hint="eastAsia"/>
          <w:sz w:val="30"/>
          <w:szCs w:val="30"/>
        </w:rPr>
        <w:t>个，</w:t>
      </w:r>
      <w:r>
        <w:rPr>
          <w:rFonts w:ascii="仿宋_GB2312" w:eastAsia="仿宋_GB2312" w:hint="eastAsia"/>
          <w:sz w:val="30"/>
          <w:szCs w:val="30"/>
        </w:rPr>
        <w:t>部门</w:t>
      </w:r>
      <w:r w:rsidR="00DA0BBD" w:rsidRPr="000D5897">
        <w:rPr>
          <w:rFonts w:ascii="仿宋_GB2312" w:eastAsia="仿宋_GB2312" w:hAnsi="宋体" w:cs="Arial" w:hint="eastAsia"/>
          <w:kern w:val="0"/>
          <w:sz w:val="30"/>
          <w:szCs w:val="30"/>
        </w:rPr>
        <w:t>在职</w:t>
      </w:r>
      <w:r w:rsidR="008D5A34">
        <w:rPr>
          <w:rFonts w:ascii="仿宋_GB2312" w:eastAsia="仿宋_GB2312" w:hAnsi="宋体" w:cs="Arial" w:hint="eastAsia"/>
          <w:kern w:val="0"/>
          <w:sz w:val="30"/>
          <w:szCs w:val="30"/>
        </w:rPr>
        <w:t>人员编制</w:t>
      </w:r>
      <w:r w:rsidR="0070608A">
        <w:rPr>
          <w:rFonts w:ascii="仿宋_GB2312" w:eastAsia="仿宋_GB2312" w:hAnsi="宋体" w:cs="Arial" w:hint="eastAsia"/>
          <w:kern w:val="0"/>
          <w:sz w:val="30"/>
          <w:szCs w:val="30"/>
        </w:rPr>
        <w:t>7</w:t>
      </w:r>
      <w:r w:rsidR="008D5A34">
        <w:rPr>
          <w:rFonts w:ascii="仿宋_GB2312" w:eastAsia="仿宋_GB2312" w:hAnsi="宋体" w:cs="Arial" w:hint="eastAsia"/>
          <w:kern w:val="0"/>
          <w:sz w:val="30"/>
          <w:szCs w:val="30"/>
        </w:rPr>
        <w:t>人，其中：行政编制</w:t>
      </w:r>
      <w:r w:rsidR="0070608A">
        <w:rPr>
          <w:rFonts w:ascii="仿宋_GB2312" w:eastAsia="仿宋_GB2312" w:hAnsi="宋体" w:cs="Arial" w:hint="eastAsia"/>
          <w:kern w:val="0"/>
          <w:sz w:val="30"/>
          <w:szCs w:val="30"/>
        </w:rPr>
        <w:t>6</w:t>
      </w:r>
      <w:r w:rsidR="008D5A34">
        <w:rPr>
          <w:rFonts w:ascii="仿宋_GB2312" w:eastAsia="仿宋_GB2312" w:hAnsi="宋体" w:cs="Arial" w:hint="eastAsia"/>
          <w:kern w:val="0"/>
          <w:sz w:val="30"/>
          <w:szCs w:val="30"/>
        </w:rPr>
        <w:t>人</w:t>
      </w:r>
      <w:r w:rsidR="0070608A">
        <w:rPr>
          <w:rFonts w:ascii="仿宋_GB2312" w:eastAsia="仿宋_GB2312" w:hAnsi="宋体" w:cs="Arial" w:hint="eastAsia"/>
          <w:kern w:val="0"/>
          <w:sz w:val="30"/>
          <w:szCs w:val="30"/>
        </w:rPr>
        <w:t>、工勤编制1人</w:t>
      </w:r>
      <w:r w:rsidR="008D5A34">
        <w:rPr>
          <w:rFonts w:ascii="仿宋_GB2312" w:eastAsia="仿宋_GB2312" w:hAnsi="宋体" w:cs="Arial" w:hint="eastAsia"/>
          <w:kern w:val="0"/>
          <w:sz w:val="30"/>
          <w:szCs w:val="30"/>
        </w:rPr>
        <w:t>。在职实有</w:t>
      </w:r>
      <w:r w:rsidR="0070608A">
        <w:rPr>
          <w:rFonts w:ascii="仿宋_GB2312" w:eastAsia="仿宋_GB2312" w:hAnsi="宋体" w:cs="Arial" w:hint="eastAsia"/>
          <w:kern w:val="0"/>
          <w:sz w:val="30"/>
          <w:szCs w:val="30"/>
        </w:rPr>
        <w:t>7</w:t>
      </w:r>
      <w:r w:rsidR="008D5A34">
        <w:rPr>
          <w:rFonts w:ascii="仿宋_GB2312" w:eastAsia="仿宋_GB2312" w:hAnsi="宋体" w:cs="Arial" w:hint="eastAsia"/>
          <w:kern w:val="0"/>
          <w:sz w:val="30"/>
          <w:szCs w:val="30"/>
        </w:rPr>
        <w:t>人，其中：财政全供养</w:t>
      </w:r>
      <w:r w:rsidR="0070608A">
        <w:rPr>
          <w:rFonts w:ascii="仿宋_GB2312" w:eastAsia="仿宋_GB2312" w:hAnsi="宋体" w:cs="Arial" w:hint="eastAsia"/>
          <w:kern w:val="0"/>
          <w:sz w:val="30"/>
          <w:szCs w:val="30"/>
        </w:rPr>
        <w:t>7人</w:t>
      </w:r>
      <w:r w:rsidR="008D5A34">
        <w:rPr>
          <w:rFonts w:ascii="仿宋_GB2312" w:eastAsia="仿宋_GB2312" w:hAnsi="宋体" w:cs="Arial" w:hint="eastAsia"/>
          <w:kern w:val="0"/>
          <w:sz w:val="30"/>
          <w:szCs w:val="30"/>
        </w:rPr>
        <w:t>。离退休人员</w:t>
      </w:r>
      <w:r w:rsidR="0070608A">
        <w:rPr>
          <w:rFonts w:ascii="仿宋_GB2312" w:eastAsia="仿宋_GB2312" w:hAnsi="宋体" w:cs="Arial" w:hint="eastAsia"/>
          <w:kern w:val="0"/>
          <w:sz w:val="30"/>
          <w:szCs w:val="30"/>
        </w:rPr>
        <w:t>7</w:t>
      </w:r>
      <w:r w:rsidR="008D5A34">
        <w:rPr>
          <w:rFonts w:ascii="仿宋_GB2312" w:eastAsia="仿宋_GB2312" w:hAnsi="宋体" w:cs="Arial" w:hint="eastAsia"/>
          <w:kern w:val="0"/>
          <w:sz w:val="30"/>
          <w:szCs w:val="30"/>
        </w:rPr>
        <w:t>人，其中：离休</w:t>
      </w:r>
      <w:r w:rsidR="0070608A">
        <w:rPr>
          <w:rFonts w:ascii="仿宋_GB2312" w:eastAsia="仿宋_GB2312" w:hAnsi="宋体" w:cs="Arial" w:hint="eastAsia"/>
          <w:kern w:val="0"/>
          <w:sz w:val="30"/>
          <w:szCs w:val="30"/>
        </w:rPr>
        <w:t>0</w:t>
      </w:r>
      <w:r w:rsidR="008D5A34">
        <w:rPr>
          <w:rFonts w:ascii="仿宋_GB2312" w:eastAsia="仿宋_GB2312" w:hAnsi="宋体" w:cs="Arial" w:hint="eastAsia"/>
          <w:kern w:val="0"/>
          <w:sz w:val="30"/>
          <w:szCs w:val="30"/>
        </w:rPr>
        <w:t>人，退休</w:t>
      </w:r>
      <w:r w:rsidR="0070608A">
        <w:rPr>
          <w:rFonts w:ascii="仿宋_GB2312" w:eastAsia="仿宋_GB2312" w:hAnsi="宋体" w:cs="Arial" w:hint="eastAsia"/>
          <w:kern w:val="0"/>
          <w:sz w:val="30"/>
          <w:szCs w:val="30"/>
        </w:rPr>
        <w:t>7</w:t>
      </w:r>
      <w:r w:rsidR="008D5A34">
        <w:rPr>
          <w:rFonts w:ascii="仿宋_GB2312" w:eastAsia="仿宋_GB2312" w:hAnsi="宋体" w:cs="Arial" w:hint="eastAsia"/>
          <w:kern w:val="0"/>
          <w:sz w:val="30"/>
          <w:szCs w:val="30"/>
        </w:rPr>
        <w:t>人。</w:t>
      </w:r>
    </w:p>
    <w:p w:rsidR="000D5897" w:rsidRDefault="002C25AF" w:rsidP="000D5897">
      <w:pPr>
        <w:spacing w:line="600" w:lineRule="exact"/>
        <w:ind w:firstLineChars="200" w:firstLine="602"/>
        <w:rPr>
          <w:rFonts w:ascii="黑体" w:eastAsia="黑体" w:hAnsi="黑体"/>
          <w:b/>
          <w:sz w:val="30"/>
          <w:szCs w:val="30"/>
        </w:rPr>
      </w:pPr>
      <w:r>
        <w:rPr>
          <w:rFonts w:ascii="黑体" w:eastAsia="黑体" w:hAnsi="黑体" w:hint="eastAsia"/>
          <w:b/>
          <w:sz w:val="30"/>
          <w:szCs w:val="30"/>
        </w:rPr>
        <w:lastRenderedPageBreak/>
        <w:t>四</w:t>
      </w:r>
      <w:r w:rsidR="005D13D4" w:rsidRPr="000D5897">
        <w:rPr>
          <w:rFonts w:ascii="黑体" w:eastAsia="黑体" w:hAnsi="黑体" w:hint="eastAsia"/>
          <w:b/>
          <w:sz w:val="30"/>
          <w:szCs w:val="30"/>
        </w:rPr>
        <w:t>、</w:t>
      </w:r>
      <w:r w:rsidR="0010269B">
        <w:rPr>
          <w:rFonts w:ascii="黑体" w:eastAsia="黑体" w:hAnsi="黑体" w:hint="eastAsia"/>
          <w:b/>
          <w:sz w:val="30"/>
          <w:szCs w:val="30"/>
        </w:rPr>
        <w:t>2017年</w:t>
      </w:r>
      <w:r w:rsidR="003E4734" w:rsidRPr="000D5897">
        <w:rPr>
          <w:rFonts w:ascii="黑体" w:eastAsia="黑体" w:hAnsi="黑体" w:hint="eastAsia"/>
          <w:b/>
          <w:sz w:val="30"/>
          <w:szCs w:val="30"/>
        </w:rPr>
        <w:t>部门预算收支情况</w:t>
      </w:r>
    </w:p>
    <w:p w:rsidR="003E4734" w:rsidRDefault="0010269B" w:rsidP="000D5897">
      <w:pPr>
        <w:spacing w:line="600" w:lineRule="exact"/>
        <w:ind w:firstLineChars="200" w:firstLine="600"/>
        <w:rPr>
          <w:rFonts w:ascii="仿宋_GB2312" w:eastAsia="仿宋_GB2312"/>
          <w:sz w:val="30"/>
          <w:szCs w:val="30"/>
        </w:rPr>
      </w:pPr>
      <w:r>
        <w:rPr>
          <w:rFonts w:ascii="仿宋_GB2312" w:eastAsia="仿宋_GB2312" w:hint="eastAsia"/>
          <w:sz w:val="30"/>
          <w:szCs w:val="30"/>
        </w:rPr>
        <w:t>2017年梁河县总工会</w:t>
      </w:r>
      <w:r w:rsidR="008D5A34">
        <w:rPr>
          <w:rFonts w:ascii="仿宋_GB2312" w:eastAsia="仿宋_GB2312" w:hint="eastAsia"/>
          <w:sz w:val="30"/>
          <w:szCs w:val="30"/>
        </w:rPr>
        <w:t>财务</w:t>
      </w:r>
      <w:r w:rsidR="00DA0BBD" w:rsidRPr="000D5897">
        <w:rPr>
          <w:rFonts w:ascii="仿宋_GB2312" w:eastAsia="仿宋_GB2312" w:hint="eastAsia"/>
          <w:sz w:val="30"/>
          <w:szCs w:val="30"/>
        </w:rPr>
        <w:t>总收入</w:t>
      </w:r>
      <w:r>
        <w:rPr>
          <w:rFonts w:ascii="仿宋_GB2312" w:eastAsia="仿宋_GB2312" w:hint="eastAsia"/>
          <w:sz w:val="30"/>
          <w:szCs w:val="30"/>
        </w:rPr>
        <w:t>112.42</w:t>
      </w:r>
      <w:r w:rsidR="00E33F67" w:rsidRPr="000D5897">
        <w:rPr>
          <w:rFonts w:ascii="仿宋_GB2312" w:eastAsia="仿宋_GB2312" w:hint="eastAsia"/>
          <w:sz w:val="30"/>
          <w:szCs w:val="30"/>
        </w:rPr>
        <w:t>万元</w:t>
      </w:r>
      <w:r w:rsidR="00595D37" w:rsidRPr="000D5897">
        <w:rPr>
          <w:rFonts w:ascii="仿宋_GB2312" w:eastAsia="仿宋_GB2312" w:hint="eastAsia"/>
          <w:sz w:val="30"/>
          <w:szCs w:val="30"/>
        </w:rPr>
        <w:t>，</w:t>
      </w:r>
      <w:r w:rsidR="00E33F67" w:rsidRPr="000D5897">
        <w:rPr>
          <w:rFonts w:ascii="仿宋_GB2312" w:eastAsia="仿宋_GB2312" w:hint="eastAsia"/>
          <w:sz w:val="30"/>
          <w:szCs w:val="30"/>
        </w:rPr>
        <w:t>其中</w:t>
      </w:r>
      <w:r w:rsidR="00F4354E" w:rsidRPr="000D5897">
        <w:rPr>
          <w:rFonts w:ascii="仿宋_GB2312" w:eastAsia="仿宋_GB2312" w:hint="eastAsia"/>
          <w:sz w:val="30"/>
          <w:szCs w:val="30"/>
        </w:rPr>
        <w:t>：</w:t>
      </w:r>
      <w:r w:rsidR="008D5A34">
        <w:rPr>
          <w:rFonts w:ascii="仿宋_GB2312" w:eastAsia="仿宋_GB2312" w:hint="eastAsia"/>
          <w:sz w:val="30"/>
          <w:szCs w:val="30"/>
        </w:rPr>
        <w:t>一般</w:t>
      </w:r>
      <w:r w:rsidR="003E4734" w:rsidRPr="000D5897">
        <w:rPr>
          <w:rFonts w:ascii="仿宋_GB2312" w:eastAsia="仿宋_GB2312" w:hint="eastAsia"/>
          <w:sz w:val="30"/>
          <w:szCs w:val="30"/>
        </w:rPr>
        <w:t>公共预算</w:t>
      </w:r>
      <w:r>
        <w:rPr>
          <w:rFonts w:ascii="仿宋_GB2312" w:eastAsia="仿宋_GB2312" w:hint="eastAsia"/>
          <w:sz w:val="30"/>
          <w:szCs w:val="30"/>
        </w:rPr>
        <w:t>112.42</w:t>
      </w:r>
      <w:r w:rsidR="00E33F67" w:rsidRPr="000D5897">
        <w:rPr>
          <w:rFonts w:ascii="仿宋_GB2312" w:eastAsia="仿宋_GB2312" w:hint="eastAsia"/>
          <w:sz w:val="30"/>
          <w:szCs w:val="30"/>
        </w:rPr>
        <w:t>万元，</w:t>
      </w:r>
      <w:r w:rsidR="003E4734" w:rsidRPr="000D5897">
        <w:rPr>
          <w:rFonts w:ascii="仿宋_GB2312" w:eastAsia="仿宋_GB2312" w:hint="eastAsia"/>
          <w:sz w:val="30"/>
          <w:szCs w:val="30"/>
        </w:rPr>
        <w:t>政府性基金收入</w:t>
      </w:r>
      <w:r>
        <w:rPr>
          <w:rFonts w:ascii="仿宋_GB2312" w:eastAsia="仿宋_GB2312" w:hint="eastAsia"/>
          <w:sz w:val="30"/>
          <w:szCs w:val="30"/>
        </w:rPr>
        <w:t>0</w:t>
      </w:r>
      <w:r w:rsidR="00BC7D4B" w:rsidRPr="000D5897">
        <w:rPr>
          <w:rFonts w:ascii="仿宋_GB2312" w:eastAsia="仿宋_GB2312" w:hint="eastAsia"/>
          <w:sz w:val="30"/>
          <w:szCs w:val="30"/>
        </w:rPr>
        <w:t>万元，</w:t>
      </w:r>
      <w:r w:rsidR="008D5A34">
        <w:rPr>
          <w:rFonts w:ascii="仿宋_GB2312" w:eastAsia="仿宋_GB2312" w:hint="eastAsia"/>
          <w:sz w:val="30"/>
          <w:szCs w:val="30"/>
        </w:rPr>
        <w:t>国有资本经营收益</w:t>
      </w:r>
      <w:r>
        <w:rPr>
          <w:rFonts w:ascii="仿宋_GB2312" w:eastAsia="仿宋_GB2312" w:hint="eastAsia"/>
          <w:sz w:val="30"/>
          <w:szCs w:val="30"/>
        </w:rPr>
        <w:t>0</w:t>
      </w:r>
      <w:r w:rsidR="008D5A34">
        <w:rPr>
          <w:rFonts w:ascii="仿宋_GB2312" w:eastAsia="仿宋_GB2312" w:hint="eastAsia"/>
          <w:sz w:val="30"/>
          <w:szCs w:val="30"/>
        </w:rPr>
        <w:t>万元，事业收入</w:t>
      </w:r>
      <w:r>
        <w:rPr>
          <w:rFonts w:ascii="仿宋_GB2312" w:eastAsia="仿宋_GB2312" w:hint="eastAsia"/>
          <w:sz w:val="30"/>
          <w:szCs w:val="30"/>
        </w:rPr>
        <w:t>0</w:t>
      </w:r>
      <w:r w:rsidR="008D5A34">
        <w:rPr>
          <w:rFonts w:ascii="仿宋_GB2312" w:eastAsia="仿宋_GB2312" w:hint="eastAsia"/>
          <w:sz w:val="30"/>
          <w:szCs w:val="30"/>
        </w:rPr>
        <w:t>万元，事业单位经营收</w:t>
      </w:r>
      <w:r>
        <w:rPr>
          <w:rFonts w:ascii="仿宋_GB2312" w:eastAsia="仿宋_GB2312" w:hint="eastAsia"/>
          <w:sz w:val="30"/>
          <w:szCs w:val="30"/>
        </w:rPr>
        <w:t>0</w:t>
      </w:r>
      <w:r w:rsidR="008D5A34">
        <w:rPr>
          <w:rFonts w:ascii="仿宋_GB2312" w:eastAsia="仿宋_GB2312" w:hint="eastAsia"/>
          <w:sz w:val="30"/>
          <w:szCs w:val="30"/>
        </w:rPr>
        <w:t>万元，其他收入</w:t>
      </w:r>
      <w:r>
        <w:rPr>
          <w:rFonts w:ascii="仿宋_GB2312" w:eastAsia="仿宋_GB2312" w:hint="eastAsia"/>
          <w:sz w:val="30"/>
          <w:szCs w:val="30"/>
        </w:rPr>
        <w:t>0</w:t>
      </w:r>
      <w:r w:rsidR="008D5A34">
        <w:rPr>
          <w:rFonts w:ascii="仿宋_GB2312" w:eastAsia="仿宋_GB2312" w:hint="eastAsia"/>
          <w:sz w:val="30"/>
          <w:szCs w:val="30"/>
        </w:rPr>
        <w:t>万元。</w:t>
      </w:r>
    </w:p>
    <w:p w:rsidR="008D5A34" w:rsidRPr="000D5897" w:rsidRDefault="0010269B" w:rsidP="000D5897">
      <w:pPr>
        <w:spacing w:line="600" w:lineRule="exact"/>
        <w:ind w:firstLineChars="200" w:firstLine="600"/>
        <w:rPr>
          <w:rFonts w:ascii="仿宋_GB2312" w:eastAsia="仿宋_GB2312"/>
          <w:sz w:val="30"/>
          <w:szCs w:val="30"/>
        </w:rPr>
      </w:pPr>
      <w:r>
        <w:rPr>
          <w:rFonts w:ascii="仿宋_GB2312" w:eastAsia="仿宋_GB2312" w:hint="eastAsia"/>
          <w:sz w:val="30"/>
          <w:szCs w:val="30"/>
        </w:rPr>
        <w:t>2017</w:t>
      </w:r>
      <w:r w:rsidR="008D5A34">
        <w:rPr>
          <w:rFonts w:ascii="仿宋_GB2312" w:eastAsia="仿宋_GB2312" w:hint="eastAsia"/>
          <w:sz w:val="30"/>
          <w:szCs w:val="30"/>
        </w:rPr>
        <w:t>年部门财政拨款收入</w:t>
      </w:r>
      <w:r>
        <w:rPr>
          <w:rFonts w:ascii="仿宋_GB2312" w:eastAsia="仿宋_GB2312" w:hint="eastAsia"/>
          <w:sz w:val="30"/>
          <w:szCs w:val="30"/>
        </w:rPr>
        <w:t>112.42</w:t>
      </w:r>
      <w:r w:rsidR="008D5A34">
        <w:rPr>
          <w:rFonts w:ascii="仿宋_GB2312" w:eastAsia="仿宋_GB2312" w:hint="eastAsia"/>
          <w:sz w:val="30"/>
          <w:szCs w:val="30"/>
        </w:rPr>
        <w:t>万元，其中，本年收入</w:t>
      </w:r>
      <w:r>
        <w:rPr>
          <w:rFonts w:ascii="仿宋_GB2312" w:eastAsia="仿宋_GB2312" w:hint="eastAsia"/>
          <w:sz w:val="30"/>
          <w:szCs w:val="30"/>
        </w:rPr>
        <w:t>112.42</w:t>
      </w:r>
      <w:r w:rsidR="008D5A34">
        <w:rPr>
          <w:rFonts w:ascii="仿宋_GB2312" w:eastAsia="仿宋_GB2312" w:hint="eastAsia"/>
          <w:sz w:val="30"/>
          <w:szCs w:val="30"/>
        </w:rPr>
        <w:t>万元，上年结转收入</w:t>
      </w:r>
      <w:r>
        <w:rPr>
          <w:rFonts w:ascii="仿宋_GB2312" w:eastAsia="仿宋_GB2312" w:hint="eastAsia"/>
          <w:sz w:val="30"/>
          <w:szCs w:val="30"/>
        </w:rPr>
        <w:t>0</w:t>
      </w:r>
      <w:r w:rsidR="008D5A34">
        <w:rPr>
          <w:rFonts w:ascii="仿宋_GB2312" w:eastAsia="仿宋_GB2312" w:hint="eastAsia"/>
          <w:sz w:val="30"/>
          <w:szCs w:val="30"/>
        </w:rPr>
        <w:t>万元。本年收入中，一般公共预算财政拨款</w:t>
      </w:r>
      <w:r>
        <w:rPr>
          <w:rFonts w:ascii="仿宋_GB2312" w:eastAsia="仿宋_GB2312" w:hint="eastAsia"/>
          <w:sz w:val="30"/>
          <w:szCs w:val="30"/>
        </w:rPr>
        <w:t>112.42</w:t>
      </w:r>
      <w:r w:rsidR="008D5A34">
        <w:rPr>
          <w:rFonts w:ascii="仿宋_GB2312" w:eastAsia="仿宋_GB2312" w:hint="eastAsia"/>
          <w:sz w:val="30"/>
          <w:szCs w:val="30"/>
        </w:rPr>
        <w:t>万元（本级财力</w:t>
      </w:r>
      <w:r>
        <w:rPr>
          <w:rFonts w:ascii="仿宋_GB2312" w:eastAsia="仿宋_GB2312" w:hint="eastAsia"/>
          <w:sz w:val="30"/>
          <w:szCs w:val="30"/>
        </w:rPr>
        <w:t>102.42</w:t>
      </w:r>
      <w:r w:rsidR="008D5A34">
        <w:rPr>
          <w:rFonts w:ascii="仿宋_GB2312" w:eastAsia="仿宋_GB2312" w:hint="eastAsia"/>
          <w:sz w:val="30"/>
          <w:szCs w:val="30"/>
        </w:rPr>
        <w:t>万元，专项收入</w:t>
      </w:r>
      <w:r>
        <w:rPr>
          <w:rFonts w:ascii="仿宋_GB2312" w:eastAsia="仿宋_GB2312" w:hint="eastAsia"/>
          <w:sz w:val="30"/>
          <w:szCs w:val="30"/>
        </w:rPr>
        <w:t>10</w:t>
      </w:r>
      <w:r w:rsidR="008D5A34">
        <w:rPr>
          <w:rFonts w:ascii="仿宋_GB2312" w:eastAsia="仿宋_GB2312" w:hint="eastAsia"/>
          <w:sz w:val="30"/>
          <w:szCs w:val="30"/>
        </w:rPr>
        <w:t>万元，执法办案补助</w:t>
      </w:r>
      <w:r>
        <w:rPr>
          <w:rFonts w:ascii="仿宋_GB2312" w:eastAsia="仿宋_GB2312" w:hint="eastAsia"/>
          <w:sz w:val="30"/>
          <w:szCs w:val="30"/>
        </w:rPr>
        <w:t>0</w:t>
      </w:r>
      <w:r w:rsidR="008D5A34">
        <w:rPr>
          <w:rFonts w:ascii="仿宋_GB2312" w:eastAsia="仿宋_GB2312" w:hint="eastAsia"/>
          <w:sz w:val="30"/>
          <w:szCs w:val="30"/>
        </w:rPr>
        <w:t>万元，收费成本补偿</w:t>
      </w:r>
      <w:r>
        <w:rPr>
          <w:rFonts w:ascii="仿宋_GB2312" w:eastAsia="仿宋_GB2312" w:hint="eastAsia"/>
          <w:sz w:val="30"/>
          <w:szCs w:val="30"/>
        </w:rPr>
        <w:t>0</w:t>
      </w:r>
      <w:r w:rsidR="008D5A34">
        <w:rPr>
          <w:rFonts w:ascii="仿宋_GB2312" w:eastAsia="仿宋_GB2312" w:hint="eastAsia"/>
          <w:sz w:val="30"/>
          <w:szCs w:val="30"/>
        </w:rPr>
        <w:t>万元，财政专户管理的收入</w:t>
      </w:r>
      <w:r>
        <w:rPr>
          <w:rFonts w:ascii="仿宋_GB2312" w:eastAsia="仿宋_GB2312" w:hint="eastAsia"/>
          <w:sz w:val="30"/>
          <w:szCs w:val="30"/>
        </w:rPr>
        <w:t>0</w:t>
      </w:r>
      <w:r w:rsidR="008D5A34">
        <w:rPr>
          <w:rFonts w:ascii="仿宋_GB2312" w:eastAsia="仿宋_GB2312" w:hint="eastAsia"/>
          <w:sz w:val="30"/>
          <w:szCs w:val="30"/>
        </w:rPr>
        <w:t>万元，国有资源（资产）有偿使用收入</w:t>
      </w:r>
      <w:r>
        <w:rPr>
          <w:rFonts w:ascii="仿宋_GB2312" w:eastAsia="仿宋_GB2312" w:hint="eastAsia"/>
          <w:sz w:val="30"/>
          <w:szCs w:val="30"/>
        </w:rPr>
        <w:t>0</w:t>
      </w:r>
      <w:r w:rsidR="008D5A34">
        <w:rPr>
          <w:rFonts w:ascii="仿宋_GB2312" w:eastAsia="仿宋_GB2312" w:hint="eastAsia"/>
          <w:sz w:val="30"/>
          <w:szCs w:val="30"/>
        </w:rPr>
        <w:t>万元），政府性基金财政拨款</w:t>
      </w:r>
      <w:r>
        <w:rPr>
          <w:rFonts w:ascii="仿宋_GB2312" w:eastAsia="仿宋_GB2312" w:hint="eastAsia"/>
          <w:sz w:val="30"/>
          <w:szCs w:val="30"/>
        </w:rPr>
        <w:t>0</w:t>
      </w:r>
      <w:r w:rsidR="008D5A34">
        <w:rPr>
          <w:rFonts w:ascii="仿宋_GB2312" w:eastAsia="仿宋_GB2312" w:hint="eastAsia"/>
          <w:sz w:val="30"/>
          <w:szCs w:val="30"/>
        </w:rPr>
        <w:t>万元，国有资本经营收益财政拨款</w:t>
      </w:r>
      <w:r>
        <w:rPr>
          <w:rFonts w:ascii="仿宋_GB2312" w:eastAsia="仿宋_GB2312" w:hint="eastAsia"/>
          <w:sz w:val="30"/>
          <w:szCs w:val="30"/>
        </w:rPr>
        <w:t>0</w:t>
      </w:r>
      <w:r w:rsidR="004B112D">
        <w:rPr>
          <w:rFonts w:ascii="仿宋_GB2312" w:eastAsia="仿宋_GB2312" w:hint="eastAsia"/>
          <w:sz w:val="30"/>
          <w:szCs w:val="30"/>
        </w:rPr>
        <w:t>万元。</w:t>
      </w:r>
    </w:p>
    <w:p w:rsidR="00862DE6" w:rsidRDefault="00862DE6" w:rsidP="00862DE6">
      <w:pPr>
        <w:widowControl/>
        <w:snapToGrid w:val="0"/>
        <w:spacing w:before="100" w:after="100" w:line="600" w:lineRule="exact"/>
        <w:ind w:firstLine="538"/>
        <w:jc w:val="left"/>
        <w:rPr>
          <w:rFonts w:ascii="仿宋_GB2312" w:eastAsia="仿宋_GB2312" w:hAnsi="宋体" w:cs="Arial"/>
          <w:kern w:val="0"/>
          <w:sz w:val="30"/>
          <w:szCs w:val="30"/>
        </w:rPr>
      </w:pPr>
      <w:r>
        <w:rPr>
          <w:rFonts w:ascii="仿宋_GB2312" w:eastAsia="仿宋_GB2312" w:hint="eastAsia"/>
          <w:noProof/>
          <w:sz w:val="30"/>
          <w:szCs w:val="30"/>
        </w:rPr>
        <w:drawing>
          <wp:anchor distT="0" distB="0" distL="114300" distR="114300" simplePos="0" relativeHeight="251658240" behindDoc="0" locked="0" layoutInCell="1" allowOverlap="1">
            <wp:simplePos x="0" y="0"/>
            <wp:positionH relativeFrom="column">
              <wp:posOffset>308610</wp:posOffset>
            </wp:positionH>
            <wp:positionV relativeFrom="paragraph">
              <wp:posOffset>2087245</wp:posOffset>
            </wp:positionV>
            <wp:extent cx="4676775" cy="2990850"/>
            <wp:effectExtent l="38100" t="0" r="28575" b="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0269B" w:rsidRPr="004B01DA">
        <w:rPr>
          <w:rFonts w:ascii="仿宋_GB2312" w:eastAsia="仿宋_GB2312" w:hint="eastAsia"/>
          <w:sz w:val="30"/>
          <w:szCs w:val="30"/>
        </w:rPr>
        <w:t>2017</w:t>
      </w:r>
      <w:r w:rsidR="003E4734" w:rsidRPr="004B01DA">
        <w:rPr>
          <w:rFonts w:ascii="仿宋_GB2312" w:eastAsia="仿宋_GB2312" w:hAnsi="宋体" w:cs="Arial" w:hint="eastAsia"/>
          <w:kern w:val="0"/>
          <w:sz w:val="30"/>
          <w:szCs w:val="30"/>
        </w:rPr>
        <w:t>年部门预算总支出</w:t>
      </w:r>
      <w:r w:rsidR="0010269B" w:rsidRPr="004B01DA">
        <w:rPr>
          <w:rFonts w:ascii="仿宋_GB2312" w:eastAsia="仿宋_GB2312" w:hint="eastAsia"/>
          <w:sz w:val="30"/>
          <w:szCs w:val="30"/>
        </w:rPr>
        <w:t>112.42</w:t>
      </w:r>
      <w:r w:rsidR="00BC7D4B" w:rsidRPr="004B01DA">
        <w:rPr>
          <w:rFonts w:ascii="仿宋_GB2312" w:eastAsia="仿宋_GB2312" w:hint="eastAsia"/>
          <w:sz w:val="30"/>
          <w:szCs w:val="30"/>
        </w:rPr>
        <w:t>万元，其中：</w:t>
      </w:r>
      <w:r w:rsidR="00DA0BBD" w:rsidRPr="004B01DA">
        <w:rPr>
          <w:rFonts w:ascii="仿宋_GB2312" w:eastAsia="仿宋_GB2312" w:hAnsi="宋体" w:cs="Arial" w:hint="eastAsia"/>
          <w:kern w:val="0"/>
          <w:sz w:val="30"/>
          <w:szCs w:val="30"/>
        </w:rPr>
        <w:t>基本支出</w:t>
      </w:r>
      <w:r w:rsidR="0010269B" w:rsidRPr="004B01DA">
        <w:rPr>
          <w:rFonts w:ascii="仿宋_GB2312" w:eastAsia="仿宋_GB2312" w:hint="eastAsia"/>
          <w:sz w:val="30"/>
          <w:szCs w:val="30"/>
        </w:rPr>
        <w:t>102.42</w:t>
      </w:r>
      <w:r w:rsidR="00DA0BBD" w:rsidRPr="004B01DA">
        <w:rPr>
          <w:rFonts w:ascii="仿宋_GB2312" w:eastAsia="仿宋_GB2312" w:hAnsi="宋体" w:cs="Arial" w:hint="eastAsia"/>
          <w:kern w:val="0"/>
          <w:sz w:val="30"/>
          <w:szCs w:val="30"/>
        </w:rPr>
        <w:t>万元，占总支出的</w:t>
      </w:r>
      <w:r w:rsidR="0010269B" w:rsidRPr="004B01DA">
        <w:rPr>
          <w:rFonts w:ascii="仿宋_GB2312" w:eastAsia="仿宋_GB2312" w:hint="eastAsia"/>
          <w:sz w:val="30"/>
          <w:szCs w:val="30"/>
        </w:rPr>
        <w:t>91.1</w:t>
      </w:r>
      <w:r w:rsidR="00DA0BBD" w:rsidRPr="004B01DA">
        <w:rPr>
          <w:rFonts w:ascii="仿宋_GB2312" w:eastAsia="仿宋_GB2312" w:hAnsi="宋体" w:cs="Arial" w:hint="eastAsia"/>
          <w:kern w:val="0"/>
          <w:sz w:val="30"/>
          <w:szCs w:val="30"/>
        </w:rPr>
        <w:t>％，项目支出</w:t>
      </w:r>
      <w:r w:rsidR="0010269B" w:rsidRPr="004B01DA">
        <w:rPr>
          <w:rFonts w:ascii="仿宋_GB2312" w:eastAsia="仿宋_GB2312" w:hint="eastAsia"/>
          <w:sz w:val="30"/>
          <w:szCs w:val="30"/>
        </w:rPr>
        <w:t>10</w:t>
      </w:r>
      <w:r w:rsidR="00DA0BBD" w:rsidRPr="004B01DA">
        <w:rPr>
          <w:rFonts w:ascii="仿宋_GB2312" w:eastAsia="仿宋_GB2312" w:hAnsi="宋体" w:cs="Arial" w:hint="eastAsia"/>
          <w:kern w:val="0"/>
          <w:sz w:val="30"/>
          <w:szCs w:val="30"/>
        </w:rPr>
        <w:t>万元，占总支出的</w:t>
      </w:r>
      <w:r w:rsidR="0010269B" w:rsidRPr="004B01DA">
        <w:rPr>
          <w:rFonts w:ascii="仿宋_GB2312" w:eastAsia="仿宋_GB2312" w:hint="eastAsia"/>
          <w:sz w:val="30"/>
          <w:szCs w:val="30"/>
        </w:rPr>
        <w:t>8.9</w:t>
      </w:r>
      <w:r w:rsidR="00DA0BBD" w:rsidRPr="004B01DA">
        <w:rPr>
          <w:rFonts w:ascii="仿宋_GB2312" w:eastAsia="仿宋_GB2312" w:hAnsi="宋体" w:cs="Arial" w:hint="eastAsia"/>
          <w:kern w:val="0"/>
          <w:sz w:val="30"/>
          <w:szCs w:val="30"/>
        </w:rPr>
        <w:t>％。</w:t>
      </w:r>
      <w:r w:rsidR="00DA0BBD" w:rsidRPr="000D5897">
        <w:rPr>
          <w:rFonts w:ascii="仿宋_GB2312" w:eastAsia="仿宋_GB2312" w:hAnsi="宋体" w:cs="Arial" w:hint="eastAsia"/>
          <w:kern w:val="0"/>
          <w:sz w:val="30"/>
          <w:szCs w:val="30"/>
        </w:rPr>
        <w:t>按支出功能科目分类，支出</w:t>
      </w:r>
      <w:r w:rsidR="003E4734" w:rsidRPr="000D5897">
        <w:rPr>
          <w:rFonts w:ascii="仿宋_GB2312" w:eastAsia="仿宋_GB2312" w:hAnsi="宋体" w:cs="Arial" w:hint="eastAsia"/>
          <w:kern w:val="0"/>
          <w:sz w:val="30"/>
          <w:szCs w:val="30"/>
        </w:rPr>
        <w:t>分别</w:t>
      </w:r>
      <w:r w:rsidR="00DA0BBD" w:rsidRPr="000D5897">
        <w:rPr>
          <w:rFonts w:ascii="仿宋_GB2312" w:eastAsia="仿宋_GB2312" w:hAnsi="宋体" w:cs="Arial" w:hint="eastAsia"/>
          <w:kern w:val="0"/>
          <w:sz w:val="30"/>
          <w:szCs w:val="30"/>
        </w:rPr>
        <w:t>列</w:t>
      </w:r>
      <w:r w:rsidR="00201F09">
        <w:rPr>
          <w:rFonts w:ascii="仿宋_GB2312" w:eastAsia="仿宋_GB2312" w:hAnsi="宋体" w:cs="Arial" w:hint="eastAsia"/>
          <w:kern w:val="0"/>
          <w:sz w:val="30"/>
          <w:szCs w:val="30"/>
        </w:rPr>
        <w:t>一般公共服务支出、</w:t>
      </w:r>
      <w:r w:rsidR="00201F09" w:rsidRPr="000D5897">
        <w:rPr>
          <w:rFonts w:ascii="仿宋_GB2312" w:eastAsia="仿宋_GB2312" w:hAnsi="宋体" w:cs="Arial" w:hint="eastAsia"/>
          <w:kern w:val="0"/>
          <w:sz w:val="30"/>
          <w:szCs w:val="30"/>
        </w:rPr>
        <w:t>主要反映</w:t>
      </w:r>
      <w:r w:rsidR="00201F09">
        <w:rPr>
          <w:rFonts w:ascii="仿宋_GB2312" w:eastAsia="仿宋_GB2312" w:hint="eastAsia"/>
          <w:sz w:val="30"/>
          <w:szCs w:val="30"/>
        </w:rPr>
        <w:t>工资福利支出</w:t>
      </w:r>
      <w:r w:rsidR="00201F09" w:rsidRPr="000D5897">
        <w:rPr>
          <w:rFonts w:ascii="仿宋_GB2312" w:eastAsia="仿宋_GB2312" w:hAnsi="宋体" w:cs="Arial" w:hint="eastAsia"/>
          <w:kern w:val="0"/>
          <w:sz w:val="30"/>
          <w:szCs w:val="30"/>
        </w:rPr>
        <w:t>的支出</w:t>
      </w:r>
      <w:r w:rsidR="00201F09">
        <w:rPr>
          <w:rFonts w:ascii="仿宋_GB2312" w:eastAsia="仿宋_GB2312" w:hAnsi="宋体" w:cs="Arial" w:hint="eastAsia"/>
          <w:kern w:val="0"/>
          <w:sz w:val="30"/>
          <w:szCs w:val="30"/>
        </w:rPr>
        <w:t>，社会保障和就业支出、</w:t>
      </w:r>
      <w:r w:rsidR="00201F09" w:rsidRPr="000D5897">
        <w:rPr>
          <w:rFonts w:ascii="仿宋_GB2312" w:eastAsia="仿宋_GB2312" w:hAnsi="宋体" w:cs="Arial" w:hint="eastAsia"/>
          <w:kern w:val="0"/>
          <w:sz w:val="30"/>
          <w:szCs w:val="30"/>
        </w:rPr>
        <w:t>主要反映</w:t>
      </w:r>
      <w:r w:rsidR="00201F09">
        <w:rPr>
          <w:rFonts w:ascii="仿宋_GB2312" w:eastAsia="仿宋_GB2312" w:hAnsi="宋体" w:cs="Arial" w:hint="eastAsia"/>
          <w:kern w:val="0"/>
          <w:sz w:val="30"/>
          <w:szCs w:val="30"/>
        </w:rPr>
        <w:t>退休人员退休费</w:t>
      </w:r>
      <w:r w:rsidR="00201F09" w:rsidRPr="000D5897">
        <w:rPr>
          <w:rFonts w:ascii="仿宋_GB2312" w:eastAsia="仿宋_GB2312" w:hAnsi="宋体" w:cs="Arial" w:hint="eastAsia"/>
          <w:kern w:val="0"/>
          <w:sz w:val="30"/>
          <w:szCs w:val="30"/>
        </w:rPr>
        <w:t>的支出</w:t>
      </w:r>
      <w:r w:rsidR="00201F09">
        <w:rPr>
          <w:rFonts w:ascii="仿宋_GB2312" w:eastAsia="仿宋_GB2312" w:hAnsi="宋体" w:cs="Arial" w:hint="eastAsia"/>
          <w:kern w:val="0"/>
          <w:sz w:val="30"/>
          <w:szCs w:val="30"/>
        </w:rPr>
        <w:t>，住房保障</w:t>
      </w:r>
      <w:r w:rsidR="00DA0BBD" w:rsidRPr="000D5897">
        <w:rPr>
          <w:rFonts w:ascii="仿宋_GB2312" w:eastAsia="仿宋_GB2312" w:hAnsi="宋体" w:cs="Arial" w:hint="eastAsia"/>
          <w:kern w:val="0"/>
          <w:sz w:val="30"/>
          <w:szCs w:val="30"/>
        </w:rPr>
        <w:t>支出，主要反映</w:t>
      </w:r>
      <w:r w:rsidR="00201F09">
        <w:rPr>
          <w:rFonts w:ascii="仿宋_GB2312" w:eastAsia="仿宋_GB2312" w:hint="eastAsia"/>
          <w:sz w:val="30"/>
          <w:szCs w:val="30"/>
        </w:rPr>
        <w:t>住房公积金</w:t>
      </w:r>
      <w:r w:rsidR="00DA0BBD" w:rsidRPr="000D5897">
        <w:rPr>
          <w:rFonts w:ascii="仿宋_GB2312" w:eastAsia="仿宋_GB2312" w:hAnsi="宋体" w:cs="Arial" w:hint="eastAsia"/>
          <w:kern w:val="0"/>
          <w:sz w:val="30"/>
          <w:szCs w:val="30"/>
        </w:rPr>
        <w:t>的支出</w:t>
      </w:r>
      <w:r w:rsidR="00E939DD">
        <w:rPr>
          <w:rFonts w:ascii="仿宋_GB2312" w:eastAsia="仿宋_GB2312" w:hAnsi="宋体" w:cs="Arial" w:hint="eastAsia"/>
          <w:kern w:val="0"/>
          <w:sz w:val="30"/>
          <w:szCs w:val="30"/>
        </w:rPr>
        <w:t>。</w:t>
      </w:r>
    </w:p>
    <w:p w:rsidR="000D5897" w:rsidRPr="00862DE6" w:rsidRDefault="00E86F1D" w:rsidP="00862DE6">
      <w:pPr>
        <w:widowControl/>
        <w:snapToGrid w:val="0"/>
        <w:spacing w:before="100" w:after="100" w:line="600" w:lineRule="exact"/>
        <w:ind w:firstLine="538"/>
        <w:jc w:val="left"/>
        <w:rPr>
          <w:rFonts w:ascii="仿宋_GB2312" w:eastAsia="仿宋_GB2312" w:hAnsi="宋体" w:cs="Arial"/>
          <w:kern w:val="0"/>
          <w:sz w:val="30"/>
          <w:szCs w:val="30"/>
        </w:rPr>
      </w:pPr>
      <w:r>
        <w:rPr>
          <w:rFonts w:ascii="楷体_GB2312" w:eastAsia="楷体_GB2312" w:hAnsi="宋体" w:cs="Arial" w:hint="eastAsia"/>
          <w:b/>
          <w:bCs/>
          <w:kern w:val="0"/>
          <w:sz w:val="30"/>
          <w:szCs w:val="30"/>
        </w:rPr>
        <w:lastRenderedPageBreak/>
        <w:t>（一）</w:t>
      </w:r>
      <w:r w:rsidR="00DB6BEC" w:rsidRPr="000D5897">
        <w:rPr>
          <w:rFonts w:ascii="楷体_GB2312" w:eastAsia="楷体_GB2312" w:hAnsi="宋体" w:cs="Arial" w:hint="eastAsia"/>
          <w:b/>
          <w:bCs/>
          <w:kern w:val="0"/>
          <w:sz w:val="30"/>
          <w:szCs w:val="30"/>
        </w:rPr>
        <w:t>基本支出情况</w:t>
      </w:r>
    </w:p>
    <w:p w:rsidR="00DB6BEC" w:rsidRDefault="0001088E" w:rsidP="000D5897">
      <w:pPr>
        <w:widowControl/>
        <w:snapToGrid w:val="0"/>
        <w:spacing w:before="100" w:after="100" w:line="600" w:lineRule="exact"/>
        <w:ind w:firstLineChars="198" w:firstLine="594"/>
        <w:jc w:val="left"/>
        <w:rPr>
          <w:rFonts w:ascii="仿宋_GB2312" w:eastAsia="仿宋_GB2312" w:hAnsi="宋体" w:cs="Arial"/>
          <w:kern w:val="0"/>
          <w:sz w:val="30"/>
          <w:szCs w:val="30"/>
        </w:rPr>
      </w:pPr>
      <w:r>
        <w:rPr>
          <w:rFonts w:ascii="仿宋_GB2312" w:eastAsia="仿宋_GB2312" w:hint="eastAsia"/>
          <w:noProof/>
          <w:sz w:val="30"/>
          <w:szCs w:val="30"/>
        </w:rPr>
        <w:drawing>
          <wp:anchor distT="0" distB="0" distL="114300" distR="114300" simplePos="0" relativeHeight="251659264" behindDoc="0" locked="0" layoutInCell="1" allowOverlap="1">
            <wp:simplePos x="0" y="0"/>
            <wp:positionH relativeFrom="column">
              <wp:posOffset>184785</wp:posOffset>
            </wp:positionH>
            <wp:positionV relativeFrom="paragraph">
              <wp:posOffset>2557145</wp:posOffset>
            </wp:positionV>
            <wp:extent cx="5486400" cy="3200400"/>
            <wp:effectExtent l="19050" t="0" r="1905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10269B">
        <w:rPr>
          <w:rFonts w:ascii="仿宋_GB2312" w:eastAsia="仿宋_GB2312" w:hint="eastAsia"/>
          <w:sz w:val="30"/>
          <w:szCs w:val="30"/>
        </w:rPr>
        <w:t>2017年</w:t>
      </w:r>
      <w:r w:rsidR="00DB6BEC" w:rsidRPr="000D5897">
        <w:rPr>
          <w:rFonts w:ascii="仿宋_GB2312" w:eastAsia="仿宋_GB2312" w:hAnsi="宋体" w:cs="Arial" w:hint="eastAsia"/>
          <w:kern w:val="0"/>
          <w:sz w:val="30"/>
          <w:szCs w:val="30"/>
        </w:rPr>
        <w:t>用于保障机构正常运转的日常支出</w:t>
      </w:r>
      <w:r w:rsidR="00E86F1D">
        <w:rPr>
          <w:rFonts w:ascii="仿宋_GB2312" w:eastAsia="仿宋_GB2312" w:hint="eastAsia"/>
          <w:sz w:val="30"/>
          <w:szCs w:val="30"/>
        </w:rPr>
        <w:t>56.53</w:t>
      </w:r>
      <w:r w:rsidR="00DB6BEC" w:rsidRPr="000D5897">
        <w:rPr>
          <w:rFonts w:ascii="仿宋_GB2312" w:eastAsia="仿宋_GB2312" w:hAnsi="宋体" w:cs="Arial" w:hint="eastAsia"/>
          <w:kern w:val="0"/>
          <w:sz w:val="30"/>
          <w:szCs w:val="30"/>
        </w:rPr>
        <w:t>万元，包括基本工资，津贴补贴等工资福利支出占基本支出的</w:t>
      </w:r>
      <w:r w:rsidR="00E86F1D">
        <w:rPr>
          <w:rFonts w:ascii="仿宋_GB2312" w:eastAsia="仿宋_GB2312" w:hint="eastAsia"/>
          <w:sz w:val="30"/>
          <w:szCs w:val="30"/>
        </w:rPr>
        <w:t>55.19</w:t>
      </w:r>
      <w:r w:rsidR="00DB6BEC" w:rsidRPr="000D5897">
        <w:rPr>
          <w:rFonts w:ascii="仿宋_GB2312" w:eastAsia="仿宋_GB2312" w:hAnsi="宋体" w:cs="Arial" w:hint="eastAsia"/>
          <w:kern w:val="0"/>
          <w:sz w:val="30"/>
          <w:szCs w:val="30"/>
        </w:rPr>
        <w:t>％；办公经费、印刷费、水电费、汽燃费、办公设备购置等日常公用经费（商品和服务支出）</w:t>
      </w:r>
      <w:r w:rsidR="00E86F1D">
        <w:rPr>
          <w:rFonts w:ascii="仿宋_GB2312" w:eastAsia="仿宋_GB2312" w:hAnsi="宋体" w:cs="Arial" w:hint="eastAsia"/>
          <w:kern w:val="0"/>
          <w:sz w:val="30"/>
          <w:szCs w:val="30"/>
        </w:rPr>
        <w:t>为2.1万元，</w:t>
      </w:r>
      <w:r w:rsidR="00DB6BEC" w:rsidRPr="000D5897">
        <w:rPr>
          <w:rFonts w:ascii="仿宋_GB2312" w:eastAsia="仿宋_GB2312" w:hAnsi="宋体" w:cs="Arial" w:hint="eastAsia"/>
          <w:kern w:val="0"/>
          <w:sz w:val="30"/>
          <w:szCs w:val="30"/>
        </w:rPr>
        <w:t>占基本支出的</w:t>
      </w:r>
      <w:r w:rsidR="00E86F1D">
        <w:rPr>
          <w:rFonts w:ascii="仿宋_GB2312" w:eastAsia="仿宋_GB2312" w:hint="eastAsia"/>
          <w:sz w:val="30"/>
          <w:szCs w:val="30"/>
        </w:rPr>
        <w:t>20.5</w:t>
      </w:r>
      <w:r w:rsidR="00DB6BEC" w:rsidRPr="000D5897">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基本支出</w:t>
      </w:r>
      <w:r w:rsidR="00150FB9">
        <w:rPr>
          <w:rFonts w:ascii="仿宋_GB2312" w:eastAsia="仿宋_GB2312" w:hAnsi="宋体" w:cs="Arial" w:hint="eastAsia"/>
          <w:kern w:val="0"/>
          <w:sz w:val="30"/>
          <w:szCs w:val="30"/>
        </w:rPr>
        <w:t>与上年对比</w:t>
      </w:r>
      <w:r>
        <w:rPr>
          <w:rFonts w:ascii="仿宋_GB2312" w:eastAsia="仿宋_GB2312" w:hAnsi="宋体" w:cs="Arial" w:hint="eastAsia"/>
          <w:kern w:val="0"/>
          <w:sz w:val="30"/>
          <w:szCs w:val="30"/>
        </w:rPr>
        <w:t>增加了29.91万元</w:t>
      </w:r>
      <w:r w:rsidR="004B112D">
        <w:rPr>
          <w:rFonts w:ascii="仿宋_GB2312" w:eastAsia="仿宋_GB2312" w:hAnsi="宋体" w:cs="Arial" w:hint="eastAsia"/>
          <w:kern w:val="0"/>
          <w:sz w:val="30"/>
          <w:szCs w:val="30"/>
        </w:rPr>
        <w:t>，增减变化的原因主要是</w:t>
      </w:r>
      <w:r>
        <w:rPr>
          <w:rFonts w:ascii="仿宋_GB2312" w:eastAsia="仿宋_GB2312" w:hAnsi="宋体" w:cs="Arial" w:hint="eastAsia"/>
          <w:kern w:val="0"/>
          <w:sz w:val="30"/>
          <w:szCs w:val="30"/>
        </w:rPr>
        <w:t>工资较去年相比有所提高</w:t>
      </w:r>
      <w:r w:rsidR="00150FB9">
        <w:rPr>
          <w:rFonts w:ascii="仿宋_GB2312" w:eastAsia="仿宋_GB2312" w:hAnsi="宋体" w:cs="Arial" w:hint="eastAsia"/>
          <w:kern w:val="0"/>
          <w:sz w:val="30"/>
          <w:szCs w:val="30"/>
        </w:rPr>
        <w:t>。</w:t>
      </w:r>
    </w:p>
    <w:p w:rsidR="0001088E" w:rsidRDefault="0001088E" w:rsidP="000D5897">
      <w:pPr>
        <w:widowControl/>
        <w:snapToGrid w:val="0"/>
        <w:spacing w:before="100" w:after="100" w:line="600" w:lineRule="exact"/>
        <w:ind w:firstLineChars="198" w:firstLine="594"/>
        <w:jc w:val="left"/>
        <w:rPr>
          <w:rFonts w:ascii="仿宋_GB2312" w:eastAsia="仿宋_GB2312" w:hAnsi="宋体" w:cs="Arial"/>
          <w:kern w:val="0"/>
          <w:sz w:val="30"/>
          <w:szCs w:val="30"/>
        </w:rPr>
      </w:pPr>
    </w:p>
    <w:p w:rsidR="000D5897" w:rsidRDefault="0001088E" w:rsidP="0001088E">
      <w:pPr>
        <w:widowControl/>
        <w:snapToGrid w:val="0"/>
        <w:spacing w:before="100" w:after="100" w:line="600" w:lineRule="exact"/>
        <w:jc w:val="left"/>
        <w:rPr>
          <w:rFonts w:ascii="楷体_GB2312" w:eastAsia="楷体_GB2312" w:hAnsi="宋体" w:cs="Arial"/>
          <w:b/>
          <w:kern w:val="0"/>
          <w:sz w:val="30"/>
          <w:szCs w:val="30"/>
        </w:rPr>
      </w:pPr>
      <w:r>
        <w:rPr>
          <w:rFonts w:ascii="楷体_GB2312" w:eastAsia="楷体_GB2312" w:hAnsi="宋体" w:cs="Arial" w:hint="eastAsia"/>
          <w:b/>
          <w:kern w:val="0"/>
          <w:sz w:val="30"/>
          <w:szCs w:val="30"/>
        </w:rPr>
        <w:t>（二）</w:t>
      </w:r>
      <w:r w:rsidR="00DB6BEC" w:rsidRPr="000D5897">
        <w:rPr>
          <w:rFonts w:ascii="楷体_GB2312" w:eastAsia="楷体_GB2312" w:hAnsi="宋体" w:cs="Arial" w:hint="eastAsia"/>
          <w:b/>
          <w:kern w:val="0"/>
          <w:sz w:val="30"/>
          <w:szCs w:val="30"/>
        </w:rPr>
        <w:t>项目支出情况</w:t>
      </w:r>
    </w:p>
    <w:p w:rsidR="00607F27" w:rsidRPr="00DB075D" w:rsidRDefault="0010269B" w:rsidP="00DB075D">
      <w:pPr>
        <w:widowControl/>
        <w:snapToGrid w:val="0"/>
        <w:spacing w:before="100" w:after="100" w:line="600" w:lineRule="exact"/>
        <w:ind w:firstLineChars="198" w:firstLine="594"/>
        <w:jc w:val="left"/>
        <w:rPr>
          <w:rFonts w:ascii="仿宋_GB2312" w:eastAsia="仿宋_GB2312" w:hAnsi="宋体" w:cs="Arial"/>
          <w:kern w:val="0"/>
          <w:sz w:val="30"/>
          <w:szCs w:val="30"/>
        </w:rPr>
      </w:pPr>
      <w:r>
        <w:rPr>
          <w:rFonts w:ascii="仿宋_GB2312" w:eastAsia="仿宋_GB2312" w:hint="eastAsia"/>
          <w:sz w:val="30"/>
          <w:szCs w:val="30"/>
        </w:rPr>
        <w:t>2017年</w:t>
      </w:r>
      <w:r w:rsidR="00DB6BEC" w:rsidRPr="000D5897">
        <w:rPr>
          <w:rFonts w:ascii="仿宋_GB2312" w:eastAsia="仿宋_GB2312" w:hAnsi="宋体" w:cs="Arial" w:hint="eastAsia"/>
          <w:kern w:val="0"/>
          <w:sz w:val="30"/>
          <w:szCs w:val="30"/>
        </w:rPr>
        <w:t>用于保障机构为完成特定的行政工作任务或事业发展目标，用于专项业务工作的经费支出</w:t>
      </w:r>
      <w:r w:rsidR="003217EB">
        <w:rPr>
          <w:rFonts w:ascii="仿宋_GB2312" w:eastAsia="仿宋_GB2312" w:hint="eastAsia"/>
          <w:sz w:val="30"/>
          <w:szCs w:val="30"/>
        </w:rPr>
        <w:t>10</w:t>
      </w:r>
      <w:r w:rsidR="00DB6BEC" w:rsidRPr="000D5897">
        <w:rPr>
          <w:rFonts w:ascii="仿宋_GB2312" w:eastAsia="仿宋_GB2312" w:hAnsi="宋体" w:cs="Arial" w:hint="eastAsia"/>
          <w:kern w:val="0"/>
          <w:sz w:val="30"/>
          <w:szCs w:val="30"/>
        </w:rPr>
        <w:t>万元，如</w:t>
      </w:r>
      <w:r w:rsidR="003217EB">
        <w:rPr>
          <w:rFonts w:ascii="仿宋_GB2312" w:eastAsia="仿宋_GB2312" w:hint="eastAsia"/>
          <w:sz w:val="30"/>
          <w:szCs w:val="30"/>
        </w:rPr>
        <w:t>职工医疗互助及困难帮扶工作经费</w:t>
      </w:r>
      <w:r w:rsidR="00DB6BEC" w:rsidRPr="000D5897">
        <w:rPr>
          <w:rFonts w:ascii="仿宋_GB2312" w:eastAsia="仿宋_GB2312" w:hAnsi="宋体" w:cs="Arial" w:hint="eastAsia"/>
          <w:kern w:val="0"/>
          <w:sz w:val="30"/>
          <w:szCs w:val="30"/>
        </w:rPr>
        <w:t>开支</w:t>
      </w:r>
      <w:r w:rsidR="003217EB">
        <w:rPr>
          <w:rFonts w:ascii="仿宋_GB2312" w:eastAsia="仿宋_GB2312" w:hAnsi="宋体" w:cs="Arial" w:hint="eastAsia"/>
          <w:kern w:val="0"/>
          <w:sz w:val="30"/>
          <w:szCs w:val="30"/>
        </w:rPr>
        <w:t>和春节送温暖经费</w:t>
      </w:r>
      <w:r w:rsidR="00150FB9">
        <w:rPr>
          <w:rFonts w:ascii="仿宋_GB2312" w:eastAsia="仿宋_GB2312" w:hAnsi="宋体" w:cs="Arial" w:hint="eastAsia"/>
          <w:kern w:val="0"/>
          <w:sz w:val="30"/>
          <w:szCs w:val="30"/>
        </w:rPr>
        <w:t>。</w:t>
      </w:r>
    </w:p>
    <w:sectPr w:rsidR="00607F27" w:rsidRPr="00DB075D" w:rsidSect="004B01DA">
      <w:headerReference w:type="default" r:id="rId10"/>
      <w:footerReference w:type="even" r:id="rId11"/>
      <w:footerReference w:type="default" r:id="rId12"/>
      <w:pgSz w:w="11906" w:h="16838" w:code="9"/>
      <w:pgMar w:top="2098" w:right="1418" w:bottom="158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039" w:rsidRDefault="00C91039">
      <w:r>
        <w:separator/>
      </w:r>
    </w:p>
  </w:endnote>
  <w:endnote w:type="continuationSeparator" w:id="0">
    <w:p w:rsidR="00C91039" w:rsidRDefault="00C91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52" w:rsidRDefault="00FD1578" w:rsidP="0091472C">
    <w:pPr>
      <w:pStyle w:val="a5"/>
      <w:framePr w:wrap="around" w:vAnchor="text" w:hAnchor="margin" w:xAlign="center" w:y="1"/>
      <w:rPr>
        <w:rStyle w:val="a6"/>
      </w:rPr>
    </w:pPr>
    <w:r>
      <w:rPr>
        <w:rStyle w:val="a6"/>
      </w:rPr>
      <w:fldChar w:fldCharType="begin"/>
    </w:r>
    <w:r w:rsidR="00922C52">
      <w:rPr>
        <w:rStyle w:val="a6"/>
      </w:rPr>
      <w:instrText xml:space="preserve">PAGE  </w:instrText>
    </w:r>
    <w:r>
      <w:rPr>
        <w:rStyle w:val="a6"/>
      </w:rPr>
      <w:fldChar w:fldCharType="end"/>
    </w:r>
  </w:p>
  <w:p w:rsidR="00922C52" w:rsidRDefault="00922C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52" w:rsidRDefault="00FD1578" w:rsidP="0091472C">
    <w:pPr>
      <w:pStyle w:val="a5"/>
      <w:framePr w:wrap="around" w:vAnchor="text" w:hAnchor="margin" w:xAlign="center" w:y="1"/>
      <w:rPr>
        <w:rStyle w:val="a6"/>
      </w:rPr>
    </w:pPr>
    <w:r>
      <w:rPr>
        <w:rStyle w:val="a6"/>
      </w:rPr>
      <w:fldChar w:fldCharType="begin"/>
    </w:r>
    <w:r w:rsidR="00922C52">
      <w:rPr>
        <w:rStyle w:val="a6"/>
      </w:rPr>
      <w:instrText xml:space="preserve">PAGE  </w:instrText>
    </w:r>
    <w:r>
      <w:rPr>
        <w:rStyle w:val="a6"/>
      </w:rPr>
      <w:fldChar w:fldCharType="separate"/>
    </w:r>
    <w:r w:rsidR="00DB075D">
      <w:rPr>
        <w:rStyle w:val="a6"/>
        <w:noProof/>
      </w:rPr>
      <w:t>6</w:t>
    </w:r>
    <w:r>
      <w:rPr>
        <w:rStyle w:val="a6"/>
      </w:rPr>
      <w:fldChar w:fldCharType="end"/>
    </w:r>
  </w:p>
  <w:p w:rsidR="00922C52" w:rsidRDefault="00922C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039" w:rsidRDefault="00C91039">
      <w:r>
        <w:separator/>
      </w:r>
    </w:p>
  </w:footnote>
  <w:footnote w:type="continuationSeparator" w:id="0">
    <w:p w:rsidR="00C91039" w:rsidRDefault="00C91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52" w:rsidRDefault="00922C52" w:rsidP="00F36F7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147C8"/>
    <w:multiLevelType w:val="hybridMultilevel"/>
    <w:tmpl w:val="6BE2590C"/>
    <w:lvl w:ilvl="0" w:tplc="0DE098B2">
      <w:start w:val="1"/>
      <w:numFmt w:val="japaneseCounting"/>
      <w:lvlText w:val="（%1）"/>
      <w:lvlJc w:val="left"/>
      <w:pPr>
        <w:tabs>
          <w:tab w:val="num" w:pos="1530"/>
        </w:tabs>
        <w:ind w:left="1530" w:hanging="108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
    <w:nsid w:val="414D7959"/>
    <w:multiLevelType w:val="hybridMultilevel"/>
    <w:tmpl w:val="271A8E32"/>
    <w:lvl w:ilvl="0" w:tplc="0DE098B2">
      <w:start w:val="1"/>
      <w:numFmt w:val="japaneseCounting"/>
      <w:lvlText w:val="（%1）"/>
      <w:lvlJc w:val="left"/>
      <w:pPr>
        <w:tabs>
          <w:tab w:val="num" w:pos="1530"/>
        </w:tabs>
        <w:ind w:left="153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AD20D98"/>
    <w:multiLevelType w:val="multilevel"/>
    <w:tmpl w:val="6BE2590C"/>
    <w:lvl w:ilvl="0">
      <w:start w:val="1"/>
      <w:numFmt w:val="japaneseCounting"/>
      <w:lvlText w:val="（%1）"/>
      <w:lvlJc w:val="left"/>
      <w:pPr>
        <w:tabs>
          <w:tab w:val="num" w:pos="1530"/>
        </w:tabs>
        <w:ind w:left="1530" w:hanging="1080"/>
      </w:pPr>
      <w:rPr>
        <w:rFonts w:hint="default"/>
      </w:rPr>
    </w:lvl>
    <w:lvl w:ilvl="1">
      <w:start w:val="1"/>
      <w:numFmt w:val="lowerLetter"/>
      <w:lvlText w:val="%2)"/>
      <w:lvlJc w:val="left"/>
      <w:pPr>
        <w:tabs>
          <w:tab w:val="num" w:pos="1290"/>
        </w:tabs>
        <w:ind w:left="1290" w:hanging="420"/>
      </w:pPr>
    </w:lvl>
    <w:lvl w:ilvl="2">
      <w:start w:val="1"/>
      <w:numFmt w:val="lowerRoman"/>
      <w:lvlText w:val="%3."/>
      <w:lvlJc w:val="right"/>
      <w:pPr>
        <w:tabs>
          <w:tab w:val="num" w:pos="1710"/>
        </w:tabs>
        <w:ind w:left="1710" w:hanging="420"/>
      </w:pPr>
    </w:lvl>
    <w:lvl w:ilvl="3">
      <w:start w:val="1"/>
      <w:numFmt w:val="decimal"/>
      <w:lvlText w:val="%4."/>
      <w:lvlJc w:val="left"/>
      <w:pPr>
        <w:tabs>
          <w:tab w:val="num" w:pos="2130"/>
        </w:tabs>
        <w:ind w:left="2130" w:hanging="420"/>
      </w:pPr>
    </w:lvl>
    <w:lvl w:ilvl="4">
      <w:start w:val="1"/>
      <w:numFmt w:val="lowerLetter"/>
      <w:lvlText w:val="%5)"/>
      <w:lvlJc w:val="left"/>
      <w:pPr>
        <w:tabs>
          <w:tab w:val="num" w:pos="2550"/>
        </w:tabs>
        <w:ind w:left="2550" w:hanging="420"/>
      </w:pPr>
    </w:lvl>
    <w:lvl w:ilvl="5">
      <w:start w:val="1"/>
      <w:numFmt w:val="lowerRoman"/>
      <w:lvlText w:val="%6."/>
      <w:lvlJc w:val="right"/>
      <w:pPr>
        <w:tabs>
          <w:tab w:val="num" w:pos="2970"/>
        </w:tabs>
        <w:ind w:left="2970" w:hanging="420"/>
      </w:pPr>
    </w:lvl>
    <w:lvl w:ilvl="6">
      <w:start w:val="1"/>
      <w:numFmt w:val="decimal"/>
      <w:lvlText w:val="%7."/>
      <w:lvlJc w:val="left"/>
      <w:pPr>
        <w:tabs>
          <w:tab w:val="num" w:pos="3390"/>
        </w:tabs>
        <w:ind w:left="3390" w:hanging="420"/>
      </w:pPr>
    </w:lvl>
    <w:lvl w:ilvl="7">
      <w:start w:val="1"/>
      <w:numFmt w:val="lowerLetter"/>
      <w:lvlText w:val="%8)"/>
      <w:lvlJc w:val="left"/>
      <w:pPr>
        <w:tabs>
          <w:tab w:val="num" w:pos="3810"/>
        </w:tabs>
        <w:ind w:left="3810" w:hanging="420"/>
      </w:pPr>
    </w:lvl>
    <w:lvl w:ilvl="8">
      <w:start w:val="1"/>
      <w:numFmt w:val="lowerRoman"/>
      <w:lvlText w:val="%9."/>
      <w:lvlJc w:val="right"/>
      <w:pPr>
        <w:tabs>
          <w:tab w:val="num" w:pos="4230"/>
        </w:tabs>
        <w:ind w:left="4230" w:hanging="420"/>
      </w:pPr>
    </w:lvl>
  </w:abstractNum>
  <w:abstractNum w:abstractNumId="3">
    <w:nsid w:val="4D905303"/>
    <w:multiLevelType w:val="multilevel"/>
    <w:tmpl w:val="8A1CCC20"/>
    <w:lvl w:ilvl="0">
      <w:start w:val="1"/>
      <w:numFmt w:val="japaneseCounting"/>
      <w:lvlText w:val="（%1）"/>
      <w:lvlJc w:val="left"/>
      <w:pPr>
        <w:tabs>
          <w:tab w:val="num" w:pos="1618"/>
        </w:tabs>
        <w:ind w:left="1618" w:hanging="1080"/>
      </w:pPr>
      <w:rPr>
        <w:rFonts w:hint="default"/>
      </w:rPr>
    </w:lvl>
    <w:lvl w:ilvl="1">
      <w:start w:val="1"/>
      <w:numFmt w:val="lowerLetter"/>
      <w:lvlText w:val="%2)"/>
      <w:lvlJc w:val="left"/>
      <w:pPr>
        <w:tabs>
          <w:tab w:val="num" w:pos="1378"/>
        </w:tabs>
        <w:ind w:left="1378" w:hanging="420"/>
      </w:pPr>
    </w:lvl>
    <w:lvl w:ilvl="2">
      <w:start w:val="1"/>
      <w:numFmt w:val="lowerRoman"/>
      <w:lvlText w:val="%3."/>
      <w:lvlJc w:val="right"/>
      <w:pPr>
        <w:tabs>
          <w:tab w:val="num" w:pos="1798"/>
        </w:tabs>
        <w:ind w:left="1798" w:hanging="420"/>
      </w:pPr>
    </w:lvl>
    <w:lvl w:ilvl="3">
      <w:start w:val="1"/>
      <w:numFmt w:val="decimal"/>
      <w:lvlText w:val="%4."/>
      <w:lvlJc w:val="left"/>
      <w:pPr>
        <w:tabs>
          <w:tab w:val="num" w:pos="2218"/>
        </w:tabs>
        <w:ind w:left="2218" w:hanging="420"/>
      </w:pPr>
    </w:lvl>
    <w:lvl w:ilvl="4">
      <w:start w:val="1"/>
      <w:numFmt w:val="lowerLetter"/>
      <w:lvlText w:val="%5)"/>
      <w:lvlJc w:val="left"/>
      <w:pPr>
        <w:tabs>
          <w:tab w:val="num" w:pos="2638"/>
        </w:tabs>
        <w:ind w:left="2638" w:hanging="420"/>
      </w:pPr>
    </w:lvl>
    <w:lvl w:ilvl="5">
      <w:start w:val="1"/>
      <w:numFmt w:val="lowerRoman"/>
      <w:lvlText w:val="%6."/>
      <w:lvlJc w:val="right"/>
      <w:pPr>
        <w:tabs>
          <w:tab w:val="num" w:pos="3058"/>
        </w:tabs>
        <w:ind w:left="3058" w:hanging="420"/>
      </w:pPr>
    </w:lvl>
    <w:lvl w:ilvl="6">
      <w:start w:val="1"/>
      <w:numFmt w:val="decimal"/>
      <w:lvlText w:val="%7."/>
      <w:lvlJc w:val="left"/>
      <w:pPr>
        <w:tabs>
          <w:tab w:val="num" w:pos="3478"/>
        </w:tabs>
        <w:ind w:left="3478" w:hanging="420"/>
      </w:pPr>
    </w:lvl>
    <w:lvl w:ilvl="7">
      <w:start w:val="1"/>
      <w:numFmt w:val="lowerLetter"/>
      <w:lvlText w:val="%8)"/>
      <w:lvlJc w:val="left"/>
      <w:pPr>
        <w:tabs>
          <w:tab w:val="num" w:pos="3898"/>
        </w:tabs>
        <w:ind w:left="3898" w:hanging="420"/>
      </w:pPr>
    </w:lvl>
    <w:lvl w:ilvl="8">
      <w:start w:val="1"/>
      <w:numFmt w:val="lowerRoman"/>
      <w:lvlText w:val="%9."/>
      <w:lvlJc w:val="right"/>
      <w:pPr>
        <w:tabs>
          <w:tab w:val="num" w:pos="4318"/>
        </w:tabs>
        <w:ind w:left="4318" w:hanging="420"/>
      </w:pPr>
    </w:lvl>
  </w:abstractNum>
  <w:abstractNum w:abstractNumId="4">
    <w:nsid w:val="505062AC"/>
    <w:multiLevelType w:val="multilevel"/>
    <w:tmpl w:val="271A8E32"/>
    <w:lvl w:ilvl="0">
      <w:start w:val="1"/>
      <w:numFmt w:val="japaneseCounting"/>
      <w:lvlText w:val="（%1）"/>
      <w:lvlJc w:val="left"/>
      <w:pPr>
        <w:tabs>
          <w:tab w:val="num" w:pos="1530"/>
        </w:tabs>
        <w:ind w:left="153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CFD1444"/>
    <w:multiLevelType w:val="hybridMultilevel"/>
    <w:tmpl w:val="8A1CCC20"/>
    <w:lvl w:ilvl="0" w:tplc="AA5C11F6">
      <w:start w:val="1"/>
      <w:numFmt w:val="japaneseCounting"/>
      <w:lvlText w:val="（%1）"/>
      <w:lvlJc w:val="left"/>
      <w:pPr>
        <w:tabs>
          <w:tab w:val="num" w:pos="1647"/>
        </w:tabs>
        <w:ind w:left="1647" w:hanging="108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3F67"/>
    <w:rsid w:val="0001088E"/>
    <w:rsid w:val="000124C5"/>
    <w:rsid w:val="000135A4"/>
    <w:rsid w:val="0003780F"/>
    <w:rsid w:val="0007091A"/>
    <w:rsid w:val="00080A18"/>
    <w:rsid w:val="000827E1"/>
    <w:rsid w:val="000D5897"/>
    <w:rsid w:val="000F4113"/>
    <w:rsid w:val="00100BBA"/>
    <w:rsid w:val="00101C0E"/>
    <w:rsid w:val="0010269B"/>
    <w:rsid w:val="00105F34"/>
    <w:rsid w:val="00126985"/>
    <w:rsid w:val="00150FB9"/>
    <w:rsid w:val="00161EA8"/>
    <w:rsid w:val="0017740C"/>
    <w:rsid w:val="001B32D1"/>
    <w:rsid w:val="001D4CF6"/>
    <w:rsid w:val="001F5F72"/>
    <w:rsid w:val="00201F09"/>
    <w:rsid w:val="00222BF7"/>
    <w:rsid w:val="00265BDA"/>
    <w:rsid w:val="00267FE4"/>
    <w:rsid w:val="002749D0"/>
    <w:rsid w:val="002C25AF"/>
    <w:rsid w:val="002C4476"/>
    <w:rsid w:val="002C5173"/>
    <w:rsid w:val="002E3EAD"/>
    <w:rsid w:val="003043FC"/>
    <w:rsid w:val="003217EB"/>
    <w:rsid w:val="00322316"/>
    <w:rsid w:val="0032665F"/>
    <w:rsid w:val="0033327C"/>
    <w:rsid w:val="00351A86"/>
    <w:rsid w:val="003B304C"/>
    <w:rsid w:val="003C27ED"/>
    <w:rsid w:val="003E4734"/>
    <w:rsid w:val="003E5B88"/>
    <w:rsid w:val="003F1AAC"/>
    <w:rsid w:val="00411A75"/>
    <w:rsid w:val="00433300"/>
    <w:rsid w:val="00452194"/>
    <w:rsid w:val="00484975"/>
    <w:rsid w:val="00490EBF"/>
    <w:rsid w:val="00494B84"/>
    <w:rsid w:val="004B01DA"/>
    <w:rsid w:val="004B112D"/>
    <w:rsid w:val="004D32F9"/>
    <w:rsid w:val="004D66BF"/>
    <w:rsid w:val="004D6FF9"/>
    <w:rsid w:val="004F3447"/>
    <w:rsid w:val="0050471A"/>
    <w:rsid w:val="00544BF6"/>
    <w:rsid w:val="00556496"/>
    <w:rsid w:val="0056221C"/>
    <w:rsid w:val="005705AC"/>
    <w:rsid w:val="00580F7F"/>
    <w:rsid w:val="00581F24"/>
    <w:rsid w:val="00595D37"/>
    <w:rsid w:val="005B2372"/>
    <w:rsid w:val="005B32DE"/>
    <w:rsid w:val="005D13D4"/>
    <w:rsid w:val="005D70FB"/>
    <w:rsid w:val="005D7372"/>
    <w:rsid w:val="005E2CD2"/>
    <w:rsid w:val="005E5214"/>
    <w:rsid w:val="00607F27"/>
    <w:rsid w:val="00631E3C"/>
    <w:rsid w:val="00657DE8"/>
    <w:rsid w:val="006708BC"/>
    <w:rsid w:val="006D120D"/>
    <w:rsid w:val="0070608A"/>
    <w:rsid w:val="00725173"/>
    <w:rsid w:val="0073513A"/>
    <w:rsid w:val="00736C42"/>
    <w:rsid w:val="00772CAE"/>
    <w:rsid w:val="00775575"/>
    <w:rsid w:val="00780CE1"/>
    <w:rsid w:val="007B570A"/>
    <w:rsid w:val="007F4986"/>
    <w:rsid w:val="00854822"/>
    <w:rsid w:val="00861A42"/>
    <w:rsid w:val="00862DE6"/>
    <w:rsid w:val="008948C0"/>
    <w:rsid w:val="008B585B"/>
    <w:rsid w:val="008B654B"/>
    <w:rsid w:val="008C7942"/>
    <w:rsid w:val="008D453C"/>
    <w:rsid w:val="008D5A34"/>
    <w:rsid w:val="008D77B7"/>
    <w:rsid w:val="009042F7"/>
    <w:rsid w:val="0091472C"/>
    <w:rsid w:val="0092036A"/>
    <w:rsid w:val="00922C52"/>
    <w:rsid w:val="0092645A"/>
    <w:rsid w:val="00945788"/>
    <w:rsid w:val="0096069F"/>
    <w:rsid w:val="009649DE"/>
    <w:rsid w:val="00970FD0"/>
    <w:rsid w:val="009C4378"/>
    <w:rsid w:val="009F79F0"/>
    <w:rsid w:val="00A22CD3"/>
    <w:rsid w:val="00AC0CB8"/>
    <w:rsid w:val="00AD161D"/>
    <w:rsid w:val="00AE5617"/>
    <w:rsid w:val="00B01DA1"/>
    <w:rsid w:val="00B070F9"/>
    <w:rsid w:val="00B1005B"/>
    <w:rsid w:val="00B11EE7"/>
    <w:rsid w:val="00B177FE"/>
    <w:rsid w:val="00B259B0"/>
    <w:rsid w:val="00B41B53"/>
    <w:rsid w:val="00B72557"/>
    <w:rsid w:val="00B813AE"/>
    <w:rsid w:val="00B97918"/>
    <w:rsid w:val="00BB202E"/>
    <w:rsid w:val="00BC1574"/>
    <w:rsid w:val="00BC7D4B"/>
    <w:rsid w:val="00BD4171"/>
    <w:rsid w:val="00BE510C"/>
    <w:rsid w:val="00BF2860"/>
    <w:rsid w:val="00C12ED3"/>
    <w:rsid w:val="00C1432D"/>
    <w:rsid w:val="00C43BD4"/>
    <w:rsid w:val="00C57287"/>
    <w:rsid w:val="00C6049C"/>
    <w:rsid w:val="00C81780"/>
    <w:rsid w:val="00C87561"/>
    <w:rsid w:val="00C91039"/>
    <w:rsid w:val="00CB5D8B"/>
    <w:rsid w:val="00CB6D4E"/>
    <w:rsid w:val="00CC187B"/>
    <w:rsid w:val="00CD0E98"/>
    <w:rsid w:val="00CD1211"/>
    <w:rsid w:val="00CD1BBE"/>
    <w:rsid w:val="00D0135C"/>
    <w:rsid w:val="00D17BB9"/>
    <w:rsid w:val="00D26916"/>
    <w:rsid w:val="00D32607"/>
    <w:rsid w:val="00D5457B"/>
    <w:rsid w:val="00D76D80"/>
    <w:rsid w:val="00D810B8"/>
    <w:rsid w:val="00D8269E"/>
    <w:rsid w:val="00D834F2"/>
    <w:rsid w:val="00DA0BBD"/>
    <w:rsid w:val="00DB075D"/>
    <w:rsid w:val="00DB09E1"/>
    <w:rsid w:val="00DB1B5D"/>
    <w:rsid w:val="00DB6BEC"/>
    <w:rsid w:val="00DC2CAE"/>
    <w:rsid w:val="00E12676"/>
    <w:rsid w:val="00E22146"/>
    <w:rsid w:val="00E33F67"/>
    <w:rsid w:val="00E75A11"/>
    <w:rsid w:val="00E76892"/>
    <w:rsid w:val="00E82616"/>
    <w:rsid w:val="00E83944"/>
    <w:rsid w:val="00E86F1D"/>
    <w:rsid w:val="00E87A22"/>
    <w:rsid w:val="00E91001"/>
    <w:rsid w:val="00E939DD"/>
    <w:rsid w:val="00E964EE"/>
    <w:rsid w:val="00EB3522"/>
    <w:rsid w:val="00EC1A32"/>
    <w:rsid w:val="00ED40C2"/>
    <w:rsid w:val="00EE413B"/>
    <w:rsid w:val="00F16292"/>
    <w:rsid w:val="00F36F71"/>
    <w:rsid w:val="00F429A3"/>
    <w:rsid w:val="00F42BB3"/>
    <w:rsid w:val="00F4354E"/>
    <w:rsid w:val="00F44144"/>
    <w:rsid w:val="00F66F88"/>
    <w:rsid w:val="00F77E92"/>
    <w:rsid w:val="00F8776A"/>
    <w:rsid w:val="00FC2E52"/>
    <w:rsid w:val="00FD1578"/>
    <w:rsid w:val="00FF6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8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144"/>
    <w:pPr>
      <w:spacing w:beforeLines="30"/>
    </w:pPr>
    <w:rPr>
      <w:rFonts w:ascii="仿宋_GB2312" w:eastAsia="仿宋_GB2312"/>
      <w:sz w:val="30"/>
    </w:rPr>
  </w:style>
  <w:style w:type="paragraph" w:styleId="a4">
    <w:name w:val="Balloon Text"/>
    <w:basedOn w:val="a"/>
    <w:semiHidden/>
    <w:rsid w:val="007F4986"/>
    <w:rPr>
      <w:sz w:val="18"/>
      <w:szCs w:val="18"/>
    </w:rPr>
  </w:style>
  <w:style w:type="paragraph" w:styleId="a5">
    <w:name w:val="footer"/>
    <w:basedOn w:val="a"/>
    <w:rsid w:val="00861A42"/>
    <w:pPr>
      <w:tabs>
        <w:tab w:val="center" w:pos="4153"/>
        <w:tab w:val="right" w:pos="8306"/>
      </w:tabs>
      <w:snapToGrid w:val="0"/>
      <w:jc w:val="left"/>
    </w:pPr>
    <w:rPr>
      <w:sz w:val="18"/>
      <w:szCs w:val="18"/>
    </w:rPr>
  </w:style>
  <w:style w:type="character" w:styleId="a6">
    <w:name w:val="page number"/>
    <w:basedOn w:val="a0"/>
    <w:rsid w:val="00861A42"/>
  </w:style>
  <w:style w:type="paragraph" w:styleId="a7">
    <w:name w:val="header"/>
    <w:basedOn w:val="a"/>
    <w:rsid w:val="00F36F71"/>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16015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manualLayout>
          <c:layoutTarget val="inner"/>
          <c:xMode val="edge"/>
          <c:yMode val="edge"/>
          <c:x val="4.3981481481481483E-2"/>
          <c:y val="2.5396825396825421E-2"/>
          <c:w val="0.77954851366593492"/>
          <c:h val="0.87686276476586889"/>
        </c:manualLayout>
      </c:layout>
      <c:pie3DChart>
        <c:varyColors val="1"/>
        <c:ser>
          <c:idx val="0"/>
          <c:order val="0"/>
          <c:tx>
            <c:strRef>
              <c:f>'Sheet1'!$B$1</c:f>
              <c:strCache>
                <c:ptCount val="1"/>
                <c:pt idx="0">
                  <c:v>占总比例</c:v>
                </c:pt>
              </c:strCache>
            </c:strRef>
          </c:tx>
          <c:cat>
            <c:strRef>
              <c:f>'Sheet1'!$A$2:$A$4</c:f>
              <c:strCache>
                <c:ptCount val="3"/>
                <c:pt idx="0">
                  <c:v>一般公共服务支出</c:v>
                </c:pt>
                <c:pt idx="1">
                  <c:v>社会保障和就业支出</c:v>
                </c:pt>
                <c:pt idx="2">
                  <c:v>住房保障支出</c:v>
                </c:pt>
              </c:strCache>
            </c:strRef>
          </c:cat>
          <c:val>
            <c:numRef>
              <c:f>'Sheet1'!$B$2:$B$4</c:f>
              <c:numCache>
                <c:formatCode>0.00%</c:formatCode>
                <c:ptCount val="3"/>
                <c:pt idx="0">
                  <c:v>0.62020000000000064</c:v>
                </c:pt>
                <c:pt idx="1">
                  <c:v>0.32140000000000141</c:v>
                </c:pt>
                <c:pt idx="2">
                  <c:v>5.8400000000000014E-2</c:v>
                </c:pt>
              </c:numCache>
            </c:numRef>
          </c:val>
        </c:ser>
      </c:pie3DChart>
    </c:plotArea>
    <c:legend>
      <c:legendPos val="r"/>
      <c:layout>
        <c:manualLayout>
          <c:xMode val="edge"/>
          <c:yMode val="edge"/>
          <c:x val="0.73846183289588962"/>
          <c:y val="0.64815019141715569"/>
          <c:w val="0.24764927821522342"/>
          <c:h val="0.30673420599495155"/>
        </c:manualLayout>
      </c:layout>
    </c:legend>
    <c:plotVisOnly val="1"/>
  </c:chart>
  <c:spPr>
    <a:effectLst>
      <a:outerShdw blurRad="50800" dist="50800" dir="5400000" sx="123000" sy="123000" algn="ctr" rotWithShape="0">
        <a:srgbClr val="000000">
          <a:alpha val="0"/>
        </a:srgb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占总比例</c:v>
                </c:pt>
              </c:strCache>
            </c:strRef>
          </c:tx>
          <c:cat>
            <c:strRef>
              <c:f>Sheet1!$A$2:$A$4</c:f>
              <c:strCache>
                <c:ptCount val="3"/>
                <c:pt idx="0">
                  <c:v>工资福利支出</c:v>
                </c:pt>
                <c:pt idx="1">
                  <c:v>对个人和家庭的补助</c:v>
                </c:pt>
                <c:pt idx="2">
                  <c:v>商品和服务支出</c:v>
                </c:pt>
              </c:strCache>
            </c:strRef>
          </c:cat>
          <c:val>
            <c:numRef>
              <c:f>Sheet1!$B$2:$B$4</c:f>
              <c:numCache>
                <c:formatCode>0.00%</c:formatCode>
                <c:ptCount val="3"/>
                <c:pt idx="0">
                  <c:v>0.55189999999999995</c:v>
                </c:pt>
                <c:pt idx="1">
                  <c:v>0.41550000000000026</c:v>
                </c:pt>
                <c:pt idx="2">
                  <c:v>3.2600000000000032E-2</c:v>
                </c:pt>
              </c:numCache>
            </c:numRef>
          </c:val>
        </c:ser>
      </c:pie3D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FB4228-0A3E-4C73-8D66-BEC0DC30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380</Words>
  <Characters>2172</Characters>
  <Application>Microsoft Office Word</Application>
  <DocSecurity>0</DocSecurity>
  <Lines>18</Lines>
  <Paragraphs>5</Paragraphs>
  <ScaleCrop>false</ScaleCrop>
  <Company>微软中国</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Administrator</cp:lastModifiedBy>
  <cp:revision>8</cp:revision>
  <cp:lastPrinted>2016-02-26T01:29:00Z</cp:lastPrinted>
  <dcterms:created xsi:type="dcterms:W3CDTF">2017-02-22T02:52:00Z</dcterms:created>
  <dcterms:modified xsi:type="dcterms:W3CDTF">2017-02-22T07:31:00Z</dcterms:modified>
</cp:coreProperties>
</file>