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26F" w:rsidRDefault="00B0626F" w:rsidP="00B0626F">
      <w:pPr>
        <w:jc w:val="center"/>
        <w:rPr>
          <w:rFonts w:ascii="黑体" w:eastAsia="黑体" w:hAnsi="黑体" w:hint="eastAsia"/>
          <w:sz w:val="36"/>
          <w:szCs w:val="36"/>
        </w:rPr>
      </w:pPr>
      <w:r>
        <w:rPr>
          <w:rFonts w:ascii="黑体" w:eastAsia="黑体" w:hAnsi="黑体" w:hint="eastAsia"/>
          <w:sz w:val="36"/>
          <w:szCs w:val="36"/>
        </w:rPr>
        <w:t>梁河县农业技术推广中心2018年度部门决算</w:t>
      </w:r>
    </w:p>
    <w:p w:rsidR="00B0626F" w:rsidRDefault="00B0626F" w:rsidP="00B0626F">
      <w:pPr>
        <w:jc w:val="left"/>
        <w:rPr>
          <w:rFonts w:ascii="宋体" w:hAnsi="宋体" w:cs="宋体" w:hint="eastAsia"/>
          <w:sz w:val="30"/>
          <w:szCs w:val="30"/>
        </w:rPr>
      </w:pPr>
      <w:r>
        <w:rPr>
          <w:rFonts w:ascii="宋体" w:hAnsi="宋体" w:cs="宋体" w:hint="eastAsia"/>
          <w:sz w:val="30"/>
          <w:szCs w:val="30"/>
        </w:rPr>
        <w:t>第一部分  梁河县农业技术推广中心单位概况</w:t>
      </w:r>
    </w:p>
    <w:p w:rsidR="00B0626F" w:rsidRDefault="00B0626F" w:rsidP="00B0626F">
      <w:pPr>
        <w:spacing w:line="240" w:lineRule="atLeast"/>
        <w:jc w:val="left"/>
        <w:rPr>
          <w:rFonts w:ascii="宋体" w:hAnsi="宋体" w:cs="宋体" w:hint="eastAsia"/>
          <w:sz w:val="30"/>
          <w:szCs w:val="30"/>
        </w:rPr>
      </w:pPr>
      <w:r>
        <w:rPr>
          <w:rFonts w:ascii="宋体" w:hAnsi="宋体" w:cs="宋体" w:hint="eastAsia"/>
          <w:sz w:val="30"/>
          <w:szCs w:val="30"/>
        </w:rPr>
        <w:t>一、主要职能</w:t>
      </w:r>
    </w:p>
    <w:p w:rsidR="00B0626F" w:rsidRDefault="00B0626F" w:rsidP="00B0626F">
      <w:pPr>
        <w:spacing w:line="240" w:lineRule="atLeast"/>
        <w:jc w:val="left"/>
        <w:rPr>
          <w:rFonts w:ascii="宋体" w:hAnsi="宋体" w:cs="宋体" w:hint="eastAsia"/>
          <w:sz w:val="30"/>
          <w:szCs w:val="30"/>
        </w:rPr>
      </w:pPr>
      <w:r>
        <w:rPr>
          <w:rFonts w:ascii="宋体" w:hAnsi="宋体" w:cs="宋体" w:hint="eastAsia"/>
          <w:sz w:val="30"/>
          <w:szCs w:val="30"/>
        </w:rPr>
        <w:t>二、部门基本情况</w:t>
      </w:r>
    </w:p>
    <w:p w:rsidR="00B0626F" w:rsidRDefault="00B0626F" w:rsidP="00B0626F">
      <w:pPr>
        <w:jc w:val="left"/>
        <w:rPr>
          <w:rFonts w:ascii="宋体" w:hAnsi="宋体" w:cs="宋体" w:hint="eastAsia"/>
          <w:sz w:val="30"/>
          <w:szCs w:val="30"/>
        </w:rPr>
      </w:pPr>
      <w:r>
        <w:rPr>
          <w:rFonts w:ascii="宋体" w:hAnsi="宋体" w:cs="宋体" w:hint="eastAsia"/>
          <w:sz w:val="30"/>
          <w:szCs w:val="30"/>
        </w:rPr>
        <w:t>第二部分  2018年度部门决算表</w:t>
      </w:r>
    </w:p>
    <w:p w:rsidR="00B0626F" w:rsidRDefault="00B0626F" w:rsidP="00B0626F">
      <w:pPr>
        <w:jc w:val="left"/>
        <w:rPr>
          <w:rFonts w:ascii="宋体" w:hAnsi="宋体" w:cs="宋体" w:hint="eastAsia"/>
          <w:sz w:val="30"/>
          <w:szCs w:val="30"/>
        </w:rPr>
      </w:pPr>
      <w:r>
        <w:rPr>
          <w:rFonts w:ascii="宋体" w:hAnsi="宋体" w:cs="宋体" w:hint="eastAsia"/>
          <w:sz w:val="30"/>
          <w:szCs w:val="30"/>
        </w:rPr>
        <w:t>一、收入支出决算总表</w:t>
      </w:r>
    </w:p>
    <w:p w:rsidR="00B0626F" w:rsidRDefault="00B0626F" w:rsidP="00B0626F">
      <w:pPr>
        <w:jc w:val="left"/>
        <w:rPr>
          <w:rFonts w:ascii="宋体" w:hAnsi="宋体" w:cs="宋体" w:hint="eastAsia"/>
          <w:sz w:val="30"/>
          <w:szCs w:val="30"/>
        </w:rPr>
      </w:pPr>
      <w:r>
        <w:rPr>
          <w:rFonts w:ascii="宋体" w:hAnsi="宋体" w:cs="宋体" w:hint="eastAsia"/>
          <w:sz w:val="30"/>
          <w:szCs w:val="30"/>
        </w:rPr>
        <w:t>二、收入决算表</w:t>
      </w:r>
    </w:p>
    <w:p w:rsidR="00B0626F" w:rsidRDefault="00B0626F" w:rsidP="00B0626F">
      <w:pPr>
        <w:jc w:val="left"/>
        <w:rPr>
          <w:rFonts w:ascii="宋体" w:hAnsi="宋体" w:cs="宋体" w:hint="eastAsia"/>
          <w:sz w:val="30"/>
          <w:szCs w:val="30"/>
        </w:rPr>
      </w:pPr>
      <w:r>
        <w:rPr>
          <w:rFonts w:ascii="宋体" w:hAnsi="宋体" w:cs="宋体" w:hint="eastAsia"/>
          <w:sz w:val="30"/>
          <w:szCs w:val="30"/>
        </w:rPr>
        <w:t>三、支出决算表</w:t>
      </w:r>
    </w:p>
    <w:p w:rsidR="00B0626F" w:rsidRDefault="00B0626F" w:rsidP="00B0626F">
      <w:pPr>
        <w:jc w:val="left"/>
        <w:rPr>
          <w:rFonts w:ascii="宋体" w:hAnsi="宋体" w:cs="宋体" w:hint="eastAsia"/>
          <w:sz w:val="30"/>
          <w:szCs w:val="30"/>
        </w:rPr>
      </w:pPr>
      <w:r>
        <w:rPr>
          <w:rFonts w:ascii="宋体" w:hAnsi="宋体" w:cs="宋体" w:hint="eastAsia"/>
          <w:sz w:val="30"/>
          <w:szCs w:val="30"/>
        </w:rPr>
        <w:t>四、财政拨款收入支出决算总表</w:t>
      </w:r>
    </w:p>
    <w:p w:rsidR="00B0626F" w:rsidRDefault="00B0626F" w:rsidP="00B0626F">
      <w:pPr>
        <w:jc w:val="left"/>
        <w:rPr>
          <w:rFonts w:ascii="宋体" w:hAnsi="宋体" w:cs="宋体" w:hint="eastAsia"/>
          <w:sz w:val="30"/>
          <w:szCs w:val="30"/>
        </w:rPr>
      </w:pPr>
      <w:r>
        <w:rPr>
          <w:rFonts w:ascii="宋体" w:hAnsi="宋体" w:cs="宋体" w:hint="eastAsia"/>
          <w:sz w:val="30"/>
          <w:szCs w:val="30"/>
        </w:rPr>
        <w:t>五、一般公共预算财政拨款收入支出决算表</w:t>
      </w:r>
    </w:p>
    <w:p w:rsidR="00B0626F" w:rsidRDefault="00B0626F" w:rsidP="00B0626F">
      <w:pPr>
        <w:jc w:val="left"/>
        <w:rPr>
          <w:rFonts w:ascii="宋体" w:hAnsi="宋体" w:cs="宋体" w:hint="eastAsia"/>
          <w:sz w:val="30"/>
          <w:szCs w:val="30"/>
        </w:rPr>
      </w:pPr>
      <w:r>
        <w:rPr>
          <w:rFonts w:ascii="宋体" w:hAnsi="宋体" w:cs="宋体" w:hint="eastAsia"/>
          <w:sz w:val="30"/>
          <w:szCs w:val="30"/>
        </w:rPr>
        <w:t>六、一般公共预算财政拨款基本支出决算表</w:t>
      </w:r>
    </w:p>
    <w:p w:rsidR="00B0626F" w:rsidRDefault="00B0626F" w:rsidP="00B0626F">
      <w:pPr>
        <w:jc w:val="left"/>
        <w:rPr>
          <w:rFonts w:ascii="宋体" w:hAnsi="宋体" w:cs="宋体" w:hint="eastAsia"/>
          <w:sz w:val="30"/>
          <w:szCs w:val="30"/>
        </w:rPr>
      </w:pPr>
      <w:r>
        <w:rPr>
          <w:rFonts w:ascii="宋体" w:hAnsi="宋体" w:cs="宋体" w:hint="eastAsia"/>
          <w:sz w:val="30"/>
          <w:szCs w:val="30"/>
        </w:rPr>
        <w:t>七、政府性基金预算财政拨款收入支出决算表</w:t>
      </w:r>
    </w:p>
    <w:p w:rsidR="00B0626F" w:rsidRDefault="00B0626F" w:rsidP="00B0626F">
      <w:pPr>
        <w:jc w:val="left"/>
        <w:rPr>
          <w:rFonts w:ascii="宋体" w:hAnsi="宋体" w:cs="宋体" w:hint="eastAsia"/>
          <w:sz w:val="30"/>
          <w:szCs w:val="30"/>
        </w:rPr>
      </w:pPr>
      <w:r>
        <w:rPr>
          <w:rFonts w:ascii="宋体" w:hAnsi="宋体" w:cs="宋体" w:hint="eastAsia"/>
          <w:sz w:val="30"/>
          <w:szCs w:val="30"/>
        </w:rPr>
        <w:t>八、财政专户管理资金收入支出决算表</w:t>
      </w:r>
    </w:p>
    <w:p w:rsidR="00B0626F" w:rsidRDefault="00B0626F" w:rsidP="00B0626F">
      <w:pPr>
        <w:jc w:val="left"/>
        <w:rPr>
          <w:rFonts w:ascii="宋体" w:hAnsi="宋体" w:cs="宋体" w:hint="eastAsia"/>
          <w:sz w:val="30"/>
          <w:szCs w:val="30"/>
        </w:rPr>
      </w:pPr>
      <w:r>
        <w:rPr>
          <w:rFonts w:ascii="宋体" w:hAnsi="宋体" w:cs="宋体" w:hint="eastAsia"/>
          <w:sz w:val="30"/>
          <w:szCs w:val="30"/>
        </w:rPr>
        <w:t>九、“三公”经费、行政</w:t>
      </w:r>
      <w:proofErr w:type="gramStart"/>
      <w:r>
        <w:rPr>
          <w:rFonts w:ascii="宋体" w:hAnsi="宋体" w:cs="宋体" w:hint="eastAsia"/>
          <w:sz w:val="30"/>
          <w:szCs w:val="30"/>
        </w:rPr>
        <w:t>参公单位</w:t>
      </w:r>
      <w:proofErr w:type="gramEnd"/>
      <w:r>
        <w:rPr>
          <w:rFonts w:ascii="宋体" w:hAnsi="宋体" w:cs="宋体" w:hint="eastAsia"/>
          <w:sz w:val="30"/>
          <w:szCs w:val="30"/>
        </w:rPr>
        <w:t>机关运行经费情况表</w:t>
      </w:r>
    </w:p>
    <w:p w:rsidR="00B0626F" w:rsidRDefault="00B0626F" w:rsidP="00B0626F">
      <w:pPr>
        <w:jc w:val="left"/>
        <w:rPr>
          <w:rFonts w:ascii="宋体" w:hAnsi="宋体" w:cs="宋体" w:hint="eastAsia"/>
          <w:sz w:val="30"/>
          <w:szCs w:val="30"/>
        </w:rPr>
      </w:pPr>
      <w:r>
        <w:rPr>
          <w:rFonts w:ascii="宋体" w:hAnsi="宋体" w:cs="宋体" w:hint="eastAsia"/>
          <w:sz w:val="30"/>
          <w:szCs w:val="30"/>
        </w:rPr>
        <w:t>第三部门 2018年度部门决算情况说明</w:t>
      </w:r>
    </w:p>
    <w:p w:rsidR="00B0626F" w:rsidRDefault="00B0626F" w:rsidP="00B0626F">
      <w:pPr>
        <w:jc w:val="left"/>
        <w:rPr>
          <w:rFonts w:ascii="宋体" w:hAnsi="宋体" w:cs="宋体" w:hint="eastAsia"/>
          <w:sz w:val="30"/>
          <w:szCs w:val="30"/>
        </w:rPr>
      </w:pPr>
      <w:r>
        <w:rPr>
          <w:rFonts w:ascii="宋体" w:hAnsi="宋体" w:cs="宋体" w:hint="eastAsia"/>
          <w:sz w:val="30"/>
          <w:szCs w:val="30"/>
        </w:rPr>
        <w:t>一、收入决算情况说明</w:t>
      </w:r>
    </w:p>
    <w:p w:rsidR="00B0626F" w:rsidRDefault="00B0626F" w:rsidP="00B0626F">
      <w:pPr>
        <w:jc w:val="left"/>
        <w:rPr>
          <w:rFonts w:ascii="宋体" w:hAnsi="宋体" w:cs="宋体" w:hint="eastAsia"/>
          <w:sz w:val="30"/>
          <w:szCs w:val="30"/>
        </w:rPr>
      </w:pPr>
      <w:r>
        <w:rPr>
          <w:rFonts w:ascii="宋体" w:hAnsi="宋体" w:cs="宋体" w:hint="eastAsia"/>
          <w:sz w:val="30"/>
          <w:szCs w:val="30"/>
        </w:rPr>
        <w:t>二、支出决算情况说明</w:t>
      </w:r>
    </w:p>
    <w:p w:rsidR="00B0626F" w:rsidRDefault="00B0626F" w:rsidP="00B0626F">
      <w:pPr>
        <w:jc w:val="left"/>
        <w:rPr>
          <w:rFonts w:ascii="宋体" w:hAnsi="宋体" w:cs="宋体" w:hint="eastAsia"/>
          <w:sz w:val="30"/>
          <w:szCs w:val="30"/>
        </w:rPr>
      </w:pPr>
      <w:r>
        <w:rPr>
          <w:rFonts w:ascii="宋体" w:hAnsi="宋体" w:cs="宋体" w:hint="eastAsia"/>
          <w:sz w:val="30"/>
          <w:szCs w:val="30"/>
        </w:rPr>
        <w:t>三、一般公共预算财政拨款支出决算情况说明</w:t>
      </w:r>
    </w:p>
    <w:p w:rsidR="00B0626F" w:rsidRDefault="00B0626F" w:rsidP="00B0626F">
      <w:pPr>
        <w:widowControl/>
        <w:snapToGrid w:val="0"/>
        <w:spacing w:before="100" w:after="100" w:line="360" w:lineRule="auto"/>
        <w:jc w:val="left"/>
        <w:rPr>
          <w:rFonts w:ascii="宋体" w:hAnsi="宋体" w:cs="宋体" w:hint="eastAsia"/>
          <w:sz w:val="30"/>
          <w:szCs w:val="30"/>
        </w:rPr>
      </w:pPr>
      <w:r>
        <w:rPr>
          <w:rFonts w:ascii="宋体" w:hAnsi="宋体" w:cs="宋体" w:hint="eastAsia"/>
          <w:sz w:val="30"/>
          <w:szCs w:val="30"/>
        </w:rPr>
        <w:t>四、一般公共预算财政拨款“三公”经费支出决算情况说明</w:t>
      </w:r>
    </w:p>
    <w:p w:rsidR="00B0626F" w:rsidRDefault="00B0626F" w:rsidP="00B0626F">
      <w:pPr>
        <w:widowControl/>
        <w:snapToGrid w:val="0"/>
        <w:spacing w:before="100" w:after="100" w:line="360" w:lineRule="auto"/>
        <w:jc w:val="left"/>
        <w:rPr>
          <w:rFonts w:ascii="宋体" w:hAnsi="宋体" w:cs="宋体" w:hint="eastAsia"/>
          <w:sz w:val="30"/>
          <w:szCs w:val="30"/>
        </w:rPr>
      </w:pPr>
      <w:r>
        <w:rPr>
          <w:rFonts w:ascii="宋体" w:hAnsi="宋体" w:cs="宋体" w:hint="eastAsia"/>
          <w:sz w:val="30"/>
          <w:szCs w:val="30"/>
        </w:rPr>
        <w:t>第四部分  其他重要事项及相关口径情况说明</w:t>
      </w:r>
    </w:p>
    <w:p w:rsidR="00B0626F" w:rsidRDefault="00B0626F" w:rsidP="00B0626F">
      <w:pPr>
        <w:jc w:val="left"/>
        <w:rPr>
          <w:rFonts w:ascii="宋体" w:hAnsi="宋体" w:cs="宋体" w:hint="eastAsia"/>
          <w:sz w:val="30"/>
          <w:szCs w:val="30"/>
        </w:rPr>
      </w:pPr>
      <w:r>
        <w:rPr>
          <w:rFonts w:ascii="宋体" w:hAnsi="宋体" w:cs="宋体" w:hint="eastAsia"/>
          <w:sz w:val="30"/>
          <w:szCs w:val="30"/>
        </w:rPr>
        <w:lastRenderedPageBreak/>
        <w:t>一、机关运行经费支出情况</w:t>
      </w:r>
    </w:p>
    <w:p w:rsidR="00B0626F" w:rsidRDefault="00B0626F" w:rsidP="00B0626F">
      <w:pPr>
        <w:jc w:val="left"/>
        <w:rPr>
          <w:rFonts w:ascii="宋体" w:hAnsi="宋体" w:cs="宋体" w:hint="eastAsia"/>
          <w:sz w:val="30"/>
          <w:szCs w:val="30"/>
        </w:rPr>
      </w:pPr>
      <w:r>
        <w:rPr>
          <w:rFonts w:ascii="宋体" w:hAnsi="宋体" w:cs="宋体" w:hint="eastAsia"/>
          <w:sz w:val="30"/>
          <w:szCs w:val="30"/>
        </w:rPr>
        <w:t>二、国有资产占用情况</w:t>
      </w:r>
    </w:p>
    <w:p w:rsidR="00B0626F" w:rsidRDefault="00B0626F" w:rsidP="00B0626F">
      <w:pPr>
        <w:jc w:val="left"/>
        <w:rPr>
          <w:rFonts w:ascii="宋体" w:hAnsi="宋体" w:cs="宋体" w:hint="eastAsia"/>
          <w:sz w:val="30"/>
          <w:szCs w:val="30"/>
        </w:rPr>
      </w:pPr>
      <w:r>
        <w:rPr>
          <w:rFonts w:ascii="宋体" w:hAnsi="宋体" w:cs="宋体" w:hint="eastAsia"/>
          <w:sz w:val="30"/>
          <w:szCs w:val="30"/>
        </w:rPr>
        <w:t>三、政府采购支出情况</w:t>
      </w:r>
    </w:p>
    <w:p w:rsidR="00B0626F" w:rsidRDefault="00B0626F" w:rsidP="00B0626F">
      <w:pPr>
        <w:jc w:val="left"/>
        <w:rPr>
          <w:rFonts w:ascii="宋体" w:hAnsi="宋体" w:cs="宋体" w:hint="eastAsia"/>
          <w:sz w:val="30"/>
          <w:szCs w:val="30"/>
        </w:rPr>
      </w:pPr>
      <w:r>
        <w:rPr>
          <w:rFonts w:ascii="宋体" w:hAnsi="宋体" w:cs="宋体" w:hint="eastAsia"/>
          <w:sz w:val="30"/>
          <w:szCs w:val="30"/>
        </w:rPr>
        <w:t>四、部门绩效自评情况</w:t>
      </w:r>
    </w:p>
    <w:p w:rsidR="00B0626F" w:rsidRDefault="00B0626F" w:rsidP="00B0626F">
      <w:pPr>
        <w:jc w:val="left"/>
        <w:rPr>
          <w:rFonts w:ascii="宋体" w:hAnsi="宋体" w:cs="宋体" w:hint="eastAsia"/>
          <w:sz w:val="30"/>
          <w:szCs w:val="30"/>
        </w:rPr>
      </w:pPr>
      <w:r>
        <w:rPr>
          <w:rFonts w:ascii="宋体" w:hAnsi="宋体" w:cs="宋体" w:hint="eastAsia"/>
          <w:sz w:val="30"/>
          <w:szCs w:val="30"/>
        </w:rPr>
        <w:t>（一）项目支出概况</w:t>
      </w:r>
    </w:p>
    <w:p w:rsidR="00B0626F" w:rsidRDefault="00B0626F" w:rsidP="00B0626F">
      <w:pPr>
        <w:jc w:val="left"/>
        <w:rPr>
          <w:rFonts w:ascii="宋体" w:hAnsi="宋体" w:cs="宋体" w:hint="eastAsia"/>
          <w:sz w:val="30"/>
          <w:szCs w:val="30"/>
        </w:rPr>
      </w:pPr>
      <w:r>
        <w:rPr>
          <w:rFonts w:ascii="宋体" w:hAnsi="宋体" w:cs="宋体" w:hint="eastAsia"/>
          <w:sz w:val="30"/>
          <w:szCs w:val="30"/>
        </w:rPr>
        <w:t>（二）项目支出绩效自评</w:t>
      </w:r>
    </w:p>
    <w:p w:rsidR="00B0626F" w:rsidRDefault="00B0626F" w:rsidP="00B0626F">
      <w:pPr>
        <w:jc w:val="left"/>
        <w:rPr>
          <w:rFonts w:ascii="宋体" w:hAnsi="宋体" w:cs="宋体" w:hint="eastAsia"/>
          <w:sz w:val="30"/>
          <w:szCs w:val="30"/>
        </w:rPr>
      </w:pPr>
      <w:r>
        <w:rPr>
          <w:rFonts w:ascii="宋体" w:hAnsi="宋体" w:cs="宋体" w:hint="eastAsia"/>
          <w:sz w:val="30"/>
          <w:szCs w:val="30"/>
        </w:rPr>
        <w:t>（三）项目绩效目标管理</w:t>
      </w:r>
    </w:p>
    <w:p w:rsidR="00B0626F" w:rsidRDefault="00B0626F" w:rsidP="00B0626F">
      <w:pPr>
        <w:jc w:val="left"/>
        <w:rPr>
          <w:rFonts w:ascii="宋体" w:hAnsi="宋体" w:cs="宋体" w:hint="eastAsia"/>
          <w:sz w:val="30"/>
          <w:szCs w:val="30"/>
        </w:rPr>
      </w:pPr>
      <w:r>
        <w:rPr>
          <w:rFonts w:ascii="宋体" w:hAnsi="宋体" w:cs="宋体" w:hint="eastAsia"/>
          <w:sz w:val="30"/>
          <w:szCs w:val="30"/>
        </w:rPr>
        <w:t>（四）2018部门整体支出绩效自评报告</w:t>
      </w:r>
    </w:p>
    <w:p w:rsidR="00B0626F" w:rsidRDefault="00B0626F" w:rsidP="00B0626F">
      <w:pPr>
        <w:jc w:val="left"/>
        <w:rPr>
          <w:rFonts w:ascii="宋体" w:hAnsi="宋体" w:cs="宋体" w:hint="eastAsia"/>
          <w:sz w:val="30"/>
          <w:szCs w:val="30"/>
        </w:rPr>
      </w:pPr>
      <w:r>
        <w:rPr>
          <w:rFonts w:ascii="宋体" w:hAnsi="宋体" w:cs="宋体" w:hint="eastAsia"/>
          <w:sz w:val="30"/>
          <w:szCs w:val="30"/>
        </w:rPr>
        <w:t>（五）部门整体支出绩效自评表</w:t>
      </w:r>
    </w:p>
    <w:p w:rsidR="00B0626F" w:rsidRDefault="00B0626F" w:rsidP="00B0626F">
      <w:pPr>
        <w:jc w:val="left"/>
        <w:rPr>
          <w:rFonts w:ascii="宋体" w:hAnsi="宋体" w:cs="宋体" w:hint="eastAsia"/>
          <w:sz w:val="30"/>
          <w:szCs w:val="30"/>
        </w:rPr>
      </w:pPr>
      <w:r>
        <w:rPr>
          <w:rFonts w:ascii="宋体" w:hAnsi="宋体" w:cs="宋体" w:hint="eastAsia"/>
          <w:sz w:val="30"/>
          <w:szCs w:val="30"/>
        </w:rPr>
        <w:t>五、其他重要事项情况说明</w:t>
      </w:r>
    </w:p>
    <w:p w:rsidR="00B0626F" w:rsidRDefault="00B0626F" w:rsidP="00B0626F">
      <w:pPr>
        <w:widowControl/>
        <w:snapToGrid w:val="0"/>
        <w:spacing w:before="100" w:after="100" w:line="360" w:lineRule="auto"/>
        <w:jc w:val="left"/>
        <w:rPr>
          <w:rFonts w:ascii="宋体" w:hAnsi="宋体" w:cs="宋体" w:hint="eastAsia"/>
          <w:sz w:val="30"/>
          <w:szCs w:val="30"/>
        </w:rPr>
      </w:pPr>
      <w:r>
        <w:rPr>
          <w:rFonts w:ascii="宋体" w:hAnsi="宋体" w:cs="宋体" w:hint="eastAsia"/>
          <w:sz w:val="30"/>
          <w:szCs w:val="30"/>
        </w:rPr>
        <w:t>第五部分  名词解释</w:t>
      </w:r>
    </w:p>
    <w:p w:rsidR="00B0626F" w:rsidRDefault="00B0626F" w:rsidP="00B0626F">
      <w:pPr>
        <w:jc w:val="center"/>
        <w:rPr>
          <w:rFonts w:ascii="宋体" w:hAnsi="宋体" w:cs="宋体" w:hint="eastAsia"/>
          <w:sz w:val="32"/>
          <w:szCs w:val="32"/>
        </w:rPr>
      </w:pPr>
    </w:p>
    <w:p w:rsidR="00B0626F" w:rsidRDefault="00B0626F" w:rsidP="00B0626F">
      <w:pPr>
        <w:jc w:val="center"/>
        <w:rPr>
          <w:rFonts w:ascii="宋体" w:hAnsi="宋体" w:cs="宋体" w:hint="eastAsia"/>
          <w:sz w:val="32"/>
          <w:szCs w:val="32"/>
        </w:rPr>
      </w:pPr>
    </w:p>
    <w:p w:rsidR="00B0626F" w:rsidRDefault="00B0626F" w:rsidP="00B0626F">
      <w:pPr>
        <w:jc w:val="center"/>
        <w:rPr>
          <w:rFonts w:ascii="宋体" w:hAnsi="宋体" w:cs="宋体" w:hint="eastAsia"/>
          <w:sz w:val="32"/>
          <w:szCs w:val="32"/>
        </w:rPr>
      </w:pPr>
    </w:p>
    <w:p w:rsidR="00B0626F" w:rsidRDefault="00B0626F" w:rsidP="00B0626F">
      <w:pPr>
        <w:jc w:val="center"/>
        <w:rPr>
          <w:rFonts w:ascii="宋体" w:hAnsi="宋体" w:cs="宋体" w:hint="eastAsia"/>
          <w:sz w:val="32"/>
          <w:szCs w:val="32"/>
        </w:rPr>
      </w:pPr>
    </w:p>
    <w:p w:rsidR="00B0626F" w:rsidRDefault="00B0626F" w:rsidP="00B0626F">
      <w:pPr>
        <w:jc w:val="center"/>
        <w:rPr>
          <w:rFonts w:ascii="宋体" w:hAnsi="宋体" w:cs="宋体" w:hint="eastAsia"/>
          <w:sz w:val="32"/>
          <w:szCs w:val="32"/>
        </w:rPr>
      </w:pPr>
    </w:p>
    <w:p w:rsidR="00B0626F" w:rsidRDefault="00B0626F" w:rsidP="00B0626F">
      <w:pPr>
        <w:jc w:val="center"/>
        <w:rPr>
          <w:rFonts w:ascii="宋体" w:hAnsi="宋体" w:cs="宋体" w:hint="eastAsia"/>
          <w:sz w:val="32"/>
          <w:szCs w:val="32"/>
        </w:rPr>
      </w:pPr>
    </w:p>
    <w:p w:rsidR="00B0626F" w:rsidRDefault="00B0626F" w:rsidP="00B0626F">
      <w:pPr>
        <w:jc w:val="center"/>
        <w:rPr>
          <w:rFonts w:ascii="宋体" w:hAnsi="宋体" w:cs="宋体" w:hint="eastAsia"/>
          <w:sz w:val="32"/>
          <w:szCs w:val="32"/>
        </w:rPr>
      </w:pPr>
    </w:p>
    <w:p w:rsidR="00B0626F" w:rsidRDefault="00B0626F" w:rsidP="00B0626F">
      <w:pPr>
        <w:jc w:val="center"/>
        <w:rPr>
          <w:rFonts w:ascii="宋体" w:hAnsi="宋体" w:cs="宋体" w:hint="eastAsia"/>
          <w:sz w:val="32"/>
          <w:szCs w:val="32"/>
        </w:rPr>
      </w:pPr>
    </w:p>
    <w:p w:rsidR="00B0626F" w:rsidRDefault="00B0626F" w:rsidP="00B0626F">
      <w:pPr>
        <w:rPr>
          <w:rFonts w:ascii="宋体" w:hAnsi="宋体" w:cs="宋体" w:hint="eastAsia"/>
          <w:sz w:val="32"/>
          <w:szCs w:val="32"/>
        </w:rPr>
      </w:pPr>
    </w:p>
    <w:p w:rsidR="00B0626F" w:rsidRDefault="00B0626F" w:rsidP="00B0626F">
      <w:pPr>
        <w:jc w:val="center"/>
        <w:rPr>
          <w:rFonts w:ascii="宋体" w:hAnsi="宋体" w:cs="宋体" w:hint="eastAsia"/>
          <w:sz w:val="32"/>
          <w:szCs w:val="32"/>
        </w:rPr>
      </w:pPr>
      <w:r>
        <w:rPr>
          <w:rFonts w:ascii="宋体" w:hAnsi="宋体" w:cs="宋体" w:hint="eastAsia"/>
          <w:sz w:val="32"/>
          <w:szCs w:val="32"/>
        </w:rPr>
        <w:lastRenderedPageBreak/>
        <w:t>第一部分  单位概况</w:t>
      </w:r>
    </w:p>
    <w:p w:rsidR="00B0626F" w:rsidRDefault="00B0626F" w:rsidP="00B0626F">
      <w:pPr>
        <w:spacing w:line="600" w:lineRule="exact"/>
        <w:ind w:firstLineChars="200" w:firstLine="600"/>
        <w:rPr>
          <w:rFonts w:ascii="宋体" w:hAnsi="宋体" w:cs="宋体" w:hint="eastAsia"/>
          <w:sz w:val="30"/>
          <w:szCs w:val="30"/>
        </w:rPr>
      </w:pPr>
      <w:r>
        <w:rPr>
          <w:rFonts w:ascii="宋体" w:hAnsi="宋体" w:cs="宋体" w:hint="eastAsia"/>
          <w:sz w:val="30"/>
          <w:szCs w:val="30"/>
        </w:rPr>
        <w:t>一、主要职能</w:t>
      </w:r>
    </w:p>
    <w:p w:rsidR="00B0626F" w:rsidRDefault="00B0626F" w:rsidP="00B0626F">
      <w:pPr>
        <w:spacing w:line="600" w:lineRule="exact"/>
        <w:ind w:firstLineChars="200" w:firstLine="600"/>
        <w:rPr>
          <w:rFonts w:ascii="宋体" w:hAnsi="宋体" w:cs="宋体" w:hint="eastAsia"/>
          <w:bCs/>
          <w:sz w:val="30"/>
          <w:szCs w:val="30"/>
        </w:rPr>
      </w:pPr>
      <w:r>
        <w:rPr>
          <w:rFonts w:ascii="宋体" w:hAnsi="宋体" w:cs="宋体" w:hint="eastAsia"/>
          <w:bCs/>
          <w:sz w:val="30"/>
          <w:szCs w:val="30"/>
        </w:rPr>
        <w:t>（一）主要职能</w:t>
      </w:r>
    </w:p>
    <w:p w:rsidR="00B0626F" w:rsidRDefault="00B0626F" w:rsidP="00B0626F">
      <w:pPr>
        <w:pStyle w:val="a7"/>
        <w:widowControl/>
        <w:spacing w:before="0" w:beforeAutospacing="0" w:after="0" w:afterAutospacing="0" w:line="600" w:lineRule="atLeast"/>
        <w:ind w:firstLine="560"/>
        <w:jc w:val="both"/>
        <w:rPr>
          <w:rFonts w:ascii="宋体" w:hAnsi="宋体" w:cs="宋体" w:hint="eastAsia"/>
        </w:rPr>
      </w:pPr>
      <w:r>
        <w:rPr>
          <w:rFonts w:ascii="宋体" w:hAnsi="宋体" w:cs="宋体" w:hint="eastAsia"/>
          <w:sz w:val="28"/>
          <w:szCs w:val="28"/>
        </w:rPr>
        <w:t>（1）、负责全县农业科技推广工作计划，并组织实施；为全县农村经济发展、农业结构调整及产业化开发提供依据。</w:t>
      </w:r>
    </w:p>
    <w:p w:rsidR="00B0626F" w:rsidRDefault="00B0626F" w:rsidP="00B0626F">
      <w:pPr>
        <w:pStyle w:val="a7"/>
        <w:widowControl/>
        <w:spacing w:before="0" w:beforeAutospacing="0" w:after="0" w:afterAutospacing="0" w:line="600" w:lineRule="atLeast"/>
        <w:ind w:firstLine="560"/>
        <w:jc w:val="both"/>
        <w:rPr>
          <w:rFonts w:ascii="宋体" w:hAnsi="宋体" w:cs="宋体" w:hint="eastAsia"/>
        </w:rPr>
      </w:pPr>
      <w:r>
        <w:rPr>
          <w:rFonts w:ascii="宋体" w:hAnsi="宋体" w:cs="宋体" w:hint="eastAsia"/>
          <w:sz w:val="28"/>
          <w:szCs w:val="28"/>
        </w:rPr>
        <w:t>（2）、承担上级有关部门下达的试验、示范、推广等任务;开展种植业新品种、新技术的引进试验、示范推广和创新。</w:t>
      </w:r>
    </w:p>
    <w:p w:rsidR="00B0626F" w:rsidRDefault="00B0626F" w:rsidP="00B0626F">
      <w:pPr>
        <w:pStyle w:val="a7"/>
        <w:widowControl/>
        <w:spacing w:before="0" w:beforeAutospacing="0" w:after="0" w:afterAutospacing="0" w:line="600" w:lineRule="atLeast"/>
        <w:ind w:firstLine="560"/>
        <w:jc w:val="both"/>
        <w:rPr>
          <w:rFonts w:ascii="宋体" w:hAnsi="宋体" w:cs="宋体" w:hint="eastAsia"/>
        </w:rPr>
      </w:pPr>
      <w:r>
        <w:rPr>
          <w:rFonts w:ascii="宋体" w:hAnsi="宋体" w:cs="宋体" w:hint="eastAsia"/>
          <w:sz w:val="28"/>
          <w:szCs w:val="28"/>
        </w:rPr>
        <w:t>（3）、负责全县农技推广体系建设及管理;对全县农技推广中心进行业务指导;对全县农技推广人员和农民进行种植业技术培训、法律法规宣传、并提供种植业技术咨询服务。</w:t>
      </w:r>
    </w:p>
    <w:p w:rsidR="00B0626F" w:rsidRDefault="00B0626F" w:rsidP="00B0626F">
      <w:pPr>
        <w:widowControl/>
        <w:ind w:firstLineChars="200" w:firstLine="560"/>
        <w:jc w:val="left"/>
        <w:rPr>
          <w:rFonts w:ascii="宋体" w:hAnsi="宋体" w:cs="宋体" w:hint="eastAsia"/>
          <w:bCs/>
          <w:sz w:val="30"/>
          <w:szCs w:val="30"/>
        </w:rPr>
      </w:pPr>
      <w:r>
        <w:rPr>
          <w:rFonts w:ascii="宋体" w:hAnsi="宋体" w:cs="宋体" w:hint="eastAsia"/>
          <w:kern w:val="0"/>
          <w:sz w:val="28"/>
          <w:szCs w:val="28"/>
          <w:lang/>
        </w:rPr>
        <w:t>（4）、负责全县种植业生产的产前、产中、产后技术服务。</w:t>
      </w:r>
      <w:r>
        <w:rPr>
          <w:rFonts w:ascii="宋体" w:hAnsi="宋体" w:cs="宋体" w:hint="eastAsia"/>
          <w:kern w:val="0"/>
          <w:sz w:val="24"/>
          <w:lang/>
        </w:rPr>
        <w:t xml:space="preserve"> </w:t>
      </w:r>
    </w:p>
    <w:p w:rsidR="00B0626F" w:rsidRDefault="00B0626F" w:rsidP="00B0626F">
      <w:pPr>
        <w:pStyle w:val="a6"/>
        <w:adjustRightInd w:val="0"/>
        <w:snapToGrid w:val="0"/>
        <w:spacing w:line="600" w:lineRule="exact"/>
        <w:ind w:firstLineChars="210" w:firstLine="630"/>
        <w:rPr>
          <w:rFonts w:ascii="宋体" w:eastAsia="宋体" w:hAnsi="宋体" w:cs="宋体" w:hint="eastAsia"/>
          <w:bCs/>
          <w:szCs w:val="30"/>
        </w:rPr>
      </w:pPr>
      <w:r>
        <w:rPr>
          <w:rFonts w:ascii="宋体" w:eastAsia="宋体" w:hAnsi="宋体" w:cs="宋体" w:hint="eastAsia"/>
          <w:bCs/>
          <w:szCs w:val="30"/>
        </w:rPr>
        <w:t>（二）2018年度重点工作任务介绍</w:t>
      </w:r>
    </w:p>
    <w:p w:rsidR="00B0626F" w:rsidRDefault="00B0626F" w:rsidP="00B0626F">
      <w:pPr>
        <w:pStyle w:val="a7"/>
        <w:widowControl/>
        <w:spacing w:before="0" w:beforeAutospacing="0" w:after="0" w:afterAutospacing="0"/>
        <w:ind w:firstLine="640"/>
        <w:jc w:val="both"/>
        <w:rPr>
          <w:rFonts w:ascii="宋体" w:hAnsi="宋体" w:cs="宋体" w:hint="eastAsia"/>
        </w:rPr>
      </w:pPr>
      <w:r>
        <w:rPr>
          <w:rFonts w:ascii="宋体" w:hAnsi="宋体" w:cs="宋体" w:hint="eastAsia"/>
          <w:sz w:val="32"/>
          <w:szCs w:val="32"/>
        </w:rPr>
        <w:t>1、中心积极推广玉米、水稻、油菜、马铃薯等农作物高产栽培技术、配方施肥技术、病虫害绿色防治技术，山区节水农业技术、设施农业技术和高山蔬菜栽培技术等，分别深入各村寨及田间地头，采取室内培训与室外培训相结合的方式，开展培训12场次，培训农户400余人，发放技术资料400多份。</w:t>
      </w:r>
    </w:p>
    <w:p w:rsidR="00B0626F" w:rsidRDefault="00B0626F" w:rsidP="00B0626F">
      <w:pPr>
        <w:widowControl/>
        <w:ind w:firstLineChars="200" w:firstLine="640"/>
        <w:jc w:val="left"/>
        <w:rPr>
          <w:rFonts w:ascii="宋体" w:hAnsi="宋体" w:cs="宋体" w:hint="eastAsia"/>
          <w:kern w:val="0"/>
          <w:sz w:val="24"/>
          <w:lang/>
        </w:rPr>
      </w:pPr>
      <w:r>
        <w:rPr>
          <w:rFonts w:ascii="宋体" w:hAnsi="宋体" w:cs="宋体" w:hint="eastAsia"/>
          <w:kern w:val="0"/>
          <w:sz w:val="32"/>
          <w:szCs w:val="32"/>
          <w:lang/>
        </w:rPr>
        <w:t>2、根据农业局安排，认真开展好产业扶贫专题培训，分别在平山乡核桃林村、平山村、上河东村开展培训，共培训3场，建档立卡户150户150人。同时，协助甘蔗站、水产站开展培训3场，合计培训建档立卡户210户210人。</w:t>
      </w:r>
      <w:r>
        <w:rPr>
          <w:rFonts w:ascii="宋体" w:hAnsi="宋体" w:cs="宋体" w:hint="eastAsia"/>
          <w:kern w:val="0"/>
          <w:sz w:val="24"/>
          <w:lang/>
        </w:rPr>
        <w:t xml:space="preserve"> </w:t>
      </w:r>
    </w:p>
    <w:p w:rsidR="00B0626F" w:rsidRDefault="00B0626F" w:rsidP="00B0626F">
      <w:pPr>
        <w:widowControl/>
        <w:ind w:firstLineChars="200" w:firstLine="640"/>
        <w:jc w:val="left"/>
        <w:rPr>
          <w:rFonts w:ascii="宋体" w:hAnsi="宋体" w:cs="宋体" w:hint="eastAsia"/>
          <w:kern w:val="0"/>
          <w:sz w:val="24"/>
          <w:lang/>
        </w:rPr>
      </w:pPr>
      <w:r>
        <w:rPr>
          <w:rFonts w:ascii="宋体" w:hAnsi="宋体" w:cs="宋体" w:hint="eastAsia"/>
          <w:sz w:val="32"/>
          <w:szCs w:val="32"/>
        </w:rPr>
        <w:lastRenderedPageBreak/>
        <w:t>3、针对建档立卡户需求，结合产业发展实际，农技中心分别在河西乡、</w:t>
      </w:r>
      <w:proofErr w:type="gramStart"/>
      <w:r>
        <w:rPr>
          <w:rFonts w:ascii="宋体" w:hAnsi="宋体" w:cs="宋体" w:hint="eastAsia"/>
          <w:sz w:val="32"/>
          <w:szCs w:val="32"/>
        </w:rPr>
        <w:t>勐</w:t>
      </w:r>
      <w:proofErr w:type="gramEnd"/>
      <w:r>
        <w:rPr>
          <w:rFonts w:ascii="宋体" w:hAnsi="宋体" w:cs="宋体" w:hint="eastAsia"/>
          <w:sz w:val="32"/>
          <w:szCs w:val="32"/>
        </w:rPr>
        <w:t>养镇、</w:t>
      </w:r>
      <w:proofErr w:type="gramStart"/>
      <w:r>
        <w:rPr>
          <w:rFonts w:ascii="宋体" w:hAnsi="宋体" w:cs="宋体" w:hint="eastAsia"/>
          <w:sz w:val="32"/>
          <w:szCs w:val="32"/>
        </w:rPr>
        <w:t>曩</w:t>
      </w:r>
      <w:proofErr w:type="gramEnd"/>
      <w:r>
        <w:rPr>
          <w:rFonts w:ascii="宋体" w:hAnsi="宋体" w:cs="宋体" w:hint="eastAsia"/>
          <w:sz w:val="32"/>
          <w:szCs w:val="32"/>
        </w:rPr>
        <w:t>宋乡等村寨开展油菜、玉米、野山药、羊肚菌等产业培训，共培训5场次，培训75户，138人，其中建档立卡户数17人， 建档立卡</w:t>
      </w:r>
      <w:proofErr w:type="gramStart"/>
      <w:r>
        <w:rPr>
          <w:rFonts w:ascii="宋体" w:hAnsi="宋体" w:cs="宋体" w:hint="eastAsia"/>
          <w:sz w:val="32"/>
          <w:szCs w:val="32"/>
        </w:rPr>
        <w:t>户人数</w:t>
      </w:r>
      <w:proofErr w:type="gramEnd"/>
      <w:r>
        <w:rPr>
          <w:rFonts w:ascii="宋体" w:hAnsi="宋体" w:cs="宋体" w:hint="eastAsia"/>
          <w:sz w:val="32"/>
          <w:szCs w:val="32"/>
        </w:rPr>
        <w:t>35人。</w:t>
      </w:r>
    </w:p>
    <w:p w:rsidR="00B0626F" w:rsidRDefault="00B0626F" w:rsidP="00B0626F">
      <w:pPr>
        <w:spacing w:line="600" w:lineRule="exact"/>
        <w:ind w:firstLineChars="200" w:firstLine="640"/>
        <w:rPr>
          <w:rFonts w:ascii="宋体" w:hAnsi="宋体" w:cs="宋体" w:hint="eastAsia"/>
          <w:sz w:val="32"/>
          <w:szCs w:val="32"/>
        </w:rPr>
      </w:pPr>
      <w:r>
        <w:rPr>
          <w:rFonts w:ascii="宋体" w:hAnsi="宋体" w:cs="宋体" w:hint="eastAsia"/>
          <w:sz w:val="32"/>
          <w:szCs w:val="32"/>
        </w:rPr>
        <w:t>4、开展2018年高油酸杂交</w:t>
      </w:r>
      <w:proofErr w:type="gramStart"/>
      <w:r>
        <w:rPr>
          <w:rFonts w:ascii="宋体" w:hAnsi="宋体" w:cs="宋体" w:hint="eastAsia"/>
          <w:sz w:val="32"/>
          <w:szCs w:val="32"/>
        </w:rPr>
        <w:t>交</w:t>
      </w:r>
      <w:proofErr w:type="gramEnd"/>
      <w:r>
        <w:rPr>
          <w:rFonts w:ascii="宋体" w:hAnsi="宋体" w:cs="宋体" w:hint="eastAsia"/>
          <w:sz w:val="32"/>
          <w:szCs w:val="32"/>
        </w:rPr>
        <w:t>油菜示范工作。先后召开培训会4次，培训农户210余人次。经测产，示范面积120亩，加权计算平均亩产208．56千克，达到总体水平达省内低海拔（1000米）区种植领先，国内特早熟（生育期150天以内）直播高高油酸杂交油菜生产的领先水平。</w:t>
      </w:r>
    </w:p>
    <w:p w:rsidR="00B0626F" w:rsidRDefault="00B0626F" w:rsidP="00B0626F">
      <w:pPr>
        <w:pStyle w:val="a7"/>
        <w:widowControl/>
        <w:spacing w:before="0" w:beforeAutospacing="0" w:after="0" w:afterAutospacing="0" w:line="576" w:lineRule="atLeast"/>
        <w:ind w:firstLine="644"/>
        <w:jc w:val="both"/>
        <w:rPr>
          <w:rFonts w:ascii="宋体" w:hAnsi="宋体" w:cs="宋体" w:hint="eastAsia"/>
          <w:sz w:val="32"/>
          <w:szCs w:val="32"/>
        </w:rPr>
      </w:pPr>
      <w:r>
        <w:rPr>
          <w:rFonts w:ascii="宋体" w:hAnsi="宋体" w:cs="宋体" w:hint="eastAsia"/>
          <w:sz w:val="32"/>
          <w:szCs w:val="32"/>
        </w:rPr>
        <w:t>5、</w:t>
      </w:r>
      <w:r>
        <w:rPr>
          <w:rFonts w:ascii="宋体" w:hAnsi="宋体" w:cs="宋体" w:hint="eastAsia"/>
          <w:b/>
          <w:sz w:val="32"/>
          <w:szCs w:val="32"/>
        </w:rPr>
        <w:t>做好农业面源污染宣传工作，助力生态县建设。</w:t>
      </w:r>
      <w:r>
        <w:rPr>
          <w:rFonts w:ascii="宋体" w:hAnsi="宋体" w:cs="宋体" w:hint="eastAsia"/>
          <w:sz w:val="32"/>
          <w:szCs w:val="32"/>
          <w:lang/>
        </w:rPr>
        <w:t>结合本职工作，在农业生产工作中兼顾农业环境保护，利用各种培训会契机，加强对农民的宣传培训，强化农业面源污染防治宣传，大力推动生态农业建设和节水农业技术，大力宣传秸秆回收利用技术，抓好无公害农产品生产技术规程培训和指导，进一步提高生产者、经营者的农业标准化意识和生产水平，逐步树立起农业资源的忧患意识、环境保护的参与意识。</w:t>
      </w:r>
      <w:r>
        <w:rPr>
          <w:rFonts w:ascii="宋体" w:hAnsi="宋体" w:cs="宋体" w:hint="eastAsia"/>
          <w:lang/>
        </w:rPr>
        <w:t xml:space="preserve"> </w:t>
      </w:r>
    </w:p>
    <w:p w:rsidR="00B0626F" w:rsidRDefault="00B0626F" w:rsidP="00B0626F">
      <w:pPr>
        <w:spacing w:line="600" w:lineRule="exact"/>
        <w:ind w:firstLineChars="200" w:firstLine="600"/>
        <w:rPr>
          <w:rFonts w:ascii="宋体" w:hAnsi="宋体" w:cs="宋体" w:hint="eastAsia"/>
          <w:sz w:val="30"/>
          <w:szCs w:val="30"/>
        </w:rPr>
      </w:pPr>
      <w:r>
        <w:rPr>
          <w:rFonts w:ascii="宋体" w:hAnsi="宋体" w:cs="宋体" w:hint="eastAsia"/>
          <w:sz w:val="30"/>
          <w:szCs w:val="30"/>
        </w:rPr>
        <w:t>二、部门基本情况</w:t>
      </w:r>
    </w:p>
    <w:p w:rsidR="00B0626F" w:rsidRDefault="00B0626F" w:rsidP="00B0626F">
      <w:pPr>
        <w:spacing w:line="600" w:lineRule="exact"/>
        <w:ind w:firstLineChars="200" w:firstLine="600"/>
        <w:rPr>
          <w:rFonts w:ascii="宋体" w:hAnsi="宋体" w:cs="宋体" w:hint="eastAsia"/>
          <w:sz w:val="30"/>
          <w:szCs w:val="30"/>
        </w:rPr>
      </w:pPr>
      <w:r>
        <w:rPr>
          <w:rFonts w:ascii="宋体" w:hAnsi="宋体" w:cs="宋体" w:hint="eastAsia"/>
          <w:sz w:val="30"/>
          <w:szCs w:val="30"/>
        </w:rPr>
        <w:t>（一）部门决算单位构成</w:t>
      </w:r>
    </w:p>
    <w:p w:rsidR="00B0626F" w:rsidRDefault="00B0626F" w:rsidP="00B0626F">
      <w:pPr>
        <w:spacing w:line="600" w:lineRule="exact"/>
        <w:ind w:firstLineChars="200" w:firstLine="560"/>
        <w:rPr>
          <w:rFonts w:ascii="宋体" w:hAnsi="宋体" w:cs="宋体" w:hint="eastAsia"/>
          <w:sz w:val="30"/>
          <w:szCs w:val="30"/>
        </w:rPr>
      </w:pPr>
      <w:r>
        <w:rPr>
          <w:rFonts w:ascii="宋体" w:hAnsi="宋体" w:cs="宋体" w:hint="eastAsia"/>
          <w:sz w:val="28"/>
          <w:szCs w:val="28"/>
        </w:rPr>
        <w:t>纳入2018年度部门决算编报的单位共1个。为全额拨款事业单位。</w:t>
      </w:r>
    </w:p>
    <w:p w:rsidR="00B0626F" w:rsidRDefault="00B0626F" w:rsidP="00B0626F">
      <w:pPr>
        <w:ind w:firstLineChars="200" w:firstLine="600"/>
        <w:rPr>
          <w:rFonts w:ascii="宋体" w:hAnsi="宋体" w:cs="宋体" w:hint="eastAsia"/>
          <w:sz w:val="30"/>
          <w:szCs w:val="30"/>
        </w:rPr>
      </w:pPr>
      <w:r>
        <w:rPr>
          <w:rFonts w:ascii="宋体" w:hAnsi="宋体" w:cs="宋体" w:hint="eastAsia"/>
          <w:sz w:val="30"/>
          <w:szCs w:val="30"/>
        </w:rPr>
        <w:t xml:space="preserve">（二）部门人员和车辆的编制及实有情况 </w:t>
      </w:r>
    </w:p>
    <w:p w:rsidR="00B0626F" w:rsidRDefault="00B0626F" w:rsidP="00B0626F">
      <w:pPr>
        <w:pStyle w:val="a7"/>
        <w:widowControl/>
        <w:spacing w:before="0" w:beforeAutospacing="0" w:after="0" w:afterAutospacing="0" w:line="600" w:lineRule="atLeast"/>
        <w:ind w:firstLine="640"/>
        <w:jc w:val="both"/>
        <w:rPr>
          <w:rFonts w:ascii="宋体" w:hAnsi="宋体" w:cs="宋体" w:hint="eastAsia"/>
        </w:rPr>
      </w:pPr>
      <w:r>
        <w:rPr>
          <w:rFonts w:ascii="宋体" w:hAnsi="宋体" w:cs="宋体" w:hint="eastAsia"/>
          <w:sz w:val="32"/>
          <w:szCs w:val="32"/>
        </w:rPr>
        <w:lastRenderedPageBreak/>
        <w:t>梁河农业技术推广中心核定编制人数31人（农技推广中心25人，农产品质</w:t>
      </w:r>
      <w:proofErr w:type="gramStart"/>
      <w:r>
        <w:rPr>
          <w:rFonts w:ascii="宋体" w:hAnsi="宋体" w:cs="宋体" w:hint="eastAsia"/>
          <w:sz w:val="32"/>
          <w:szCs w:val="32"/>
        </w:rPr>
        <w:t>量安全</w:t>
      </w:r>
      <w:proofErr w:type="gramEnd"/>
      <w:r>
        <w:rPr>
          <w:rFonts w:ascii="宋体" w:hAnsi="宋体" w:cs="宋体" w:hint="eastAsia"/>
          <w:sz w:val="32"/>
          <w:szCs w:val="32"/>
        </w:rPr>
        <w:t>监督检测中心5人，土壤肥料工作站1人），现在职职工29人，（其中在职专业技术人员26人，技术工人3人），均为财政全供养，中共党员13人。人员分配情况：农技中心11人，土肥站6人，农产品安全监督检测中心7人，烟叶站5人；退休职工26人。学历结构：研究生1人，本科 11人，专科 19人；职称结构：在职获得高职 11人，中职 10人，初职6 人，高级工3人。</w:t>
      </w:r>
    </w:p>
    <w:p w:rsidR="00B0626F" w:rsidRDefault="00B0626F" w:rsidP="00B0626F">
      <w:pPr>
        <w:pStyle w:val="a7"/>
        <w:widowControl/>
        <w:spacing w:before="0" w:beforeAutospacing="0" w:after="0" w:afterAutospacing="0" w:line="600" w:lineRule="atLeast"/>
        <w:ind w:firstLine="560"/>
        <w:jc w:val="both"/>
        <w:rPr>
          <w:rFonts w:ascii="宋体" w:hAnsi="宋体" w:cs="宋体" w:hint="eastAsia"/>
        </w:rPr>
      </w:pPr>
      <w:r>
        <w:rPr>
          <w:rFonts w:ascii="宋体" w:hAnsi="宋体" w:cs="宋体" w:hint="eastAsia"/>
          <w:sz w:val="28"/>
          <w:szCs w:val="28"/>
        </w:rPr>
        <w:t>离退休人员24人。</w:t>
      </w:r>
    </w:p>
    <w:p w:rsidR="00B0626F" w:rsidRDefault="00B0626F" w:rsidP="00B0626F">
      <w:pPr>
        <w:widowControl/>
        <w:ind w:firstLineChars="200" w:firstLine="560"/>
        <w:jc w:val="left"/>
        <w:rPr>
          <w:rFonts w:ascii="宋体" w:hAnsi="宋体" w:cs="宋体" w:hint="eastAsia"/>
        </w:rPr>
      </w:pPr>
      <w:r>
        <w:rPr>
          <w:rFonts w:ascii="宋体" w:hAnsi="宋体" w:cs="宋体" w:hint="eastAsia"/>
          <w:kern w:val="0"/>
          <w:sz w:val="28"/>
          <w:szCs w:val="28"/>
          <w:lang/>
        </w:rPr>
        <w:t>实有车辆编制2辆，在编实有车辆2辆。</w:t>
      </w:r>
      <w:r>
        <w:rPr>
          <w:rFonts w:ascii="宋体" w:hAnsi="宋体" w:cs="宋体" w:hint="eastAsia"/>
          <w:kern w:val="0"/>
          <w:sz w:val="24"/>
          <w:lang/>
        </w:rPr>
        <w:t xml:space="preserve"> </w:t>
      </w:r>
    </w:p>
    <w:p w:rsidR="00B0626F" w:rsidRDefault="00B0626F" w:rsidP="00B0626F">
      <w:pPr>
        <w:jc w:val="center"/>
        <w:rPr>
          <w:rFonts w:ascii="宋体" w:hAnsi="宋体" w:cs="宋体" w:hint="eastAsia"/>
          <w:sz w:val="32"/>
          <w:szCs w:val="32"/>
        </w:rPr>
      </w:pPr>
      <w:r>
        <w:rPr>
          <w:rFonts w:ascii="宋体" w:hAnsi="宋体" w:cs="宋体" w:hint="eastAsia"/>
          <w:sz w:val="32"/>
          <w:szCs w:val="32"/>
        </w:rPr>
        <w:t>第二部分  2018年度部门决算表</w:t>
      </w:r>
    </w:p>
    <w:p w:rsidR="00B0626F" w:rsidRDefault="00B0626F" w:rsidP="00B0626F">
      <w:pPr>
        <w:spacing w:line="600" w:lineRule="exact"/>
        <w:ind w:firstLineChars="200" w:firstLine="600"/>
        <w:jc w:val="center"/>
        <w:rPr>
          <w:rFonts w:ascii="宋体" w:hAnsi="宋体" w:cs="宋体" w:hint="eastAsia"/>
          <w:sz w:val="30"/>
          <w:szCs w:val="30"/>
        </w:rPr>
      </w:pPr>
      <w:r>
        <w:rPr>
          <w:rFonts w:ascii="宋体" w:hAnsi="宋体" w:cs="宋体" w:hint="eastAsia"/>
          <w:sz w:val="30"/>
          <w:szCs w:val="30"/>
        </w:rPr>
        <w:t>（详见附件）</w:t>
      </w:r>
    </w:p>
    <w:p w:rsidR="00B0626F" w:rsidRDefault="00B0626F" w:rsidP="00B0626F">
      <w:pPr>
        <w:spacing w:line="600" w:lineRule="exact"/>
        <w:ind w:firstLineChars="200" w:firstLine="600"/>
        <w:jc w:val="center"/>
        <w:rPr>
          <w:rFonts w:ascii="宋体" w:hAnsi="宋体" w:cs="宋体" w:hint="eastAsia"/>
          <w:sz w:val="30"/>
          <w:szCs w:val="30"/>
        </w:rPr>
      </w:pPr>
    </w:p>
    <w:p w:rsidR="00B0626F" w:rsidRDefault="00B0626F" w:rsidP="00B0626F">
      <w:pPr>
        <w:jc w:val="center"/>
        <w:rPr>
          <w:rFonts w:ascii="宋体" w:hAnsi="宋体" w:cs="宋体" w:hint="eastAsia"/>
          <w:sz w:val="32"/>
          <w:szCs w:val="32"/>
        </w:rPr>
      </w:pPr>
      <w:r>
        <w:rPr>
          <w:rFonts w:ascii="宋体" w:hAnsi="宋体" w:cs="宋体" w:hint="eastAsia"/>
          <w:sz w:val="32"/>
          <w:szCs w:val="32"/>
        </w:rPr>
        <w:t>第三部门  2018年度部门决算情况说明</w:t>
      </w:r>
    </w:p>
    <w:p w:rsidR="00B0626F" w:rsidRDefault="00B0626F" w:rsidP="00B0626F">
      <w:pPr>
        <w:ind w:firstLineChars="200" w:firstLine="600"/>
        <w:jc w:val="left"/>
        <w:rPr>
          <w:rFonts w:ascii="宋体" w:hAnsi="宋体" w:cs="宋体" w:hint="eastAsia"/>
          <w:sz w:val="30"/>
          <w:szCs w:val="30"/>
        </w:rPr>
      </w:pPr>
      <w:r>
        <w:rPr>
          <w:rFonts w:ascii="宋体" w:hAnsi="宋体" w:cs="宋体" w:hint="eastAsia"/>
          <w:sz w:val="30"/>
          <w:szCs w:val="30"/>
        </w:rPr>
        <w:t>一、收入决算情况说明</w:t>
      </w:r>
    </w:p>
    <w:p w:rsidR="00B0626F" w:rsidRDefault="00B0626F" w:rsidP="00B0626F">
      <w:pPr>
        <w:widowControl/>
        <w:snapToGrid w:val="0"/>
        <w:spacing w:before="100" w:after="100" w:line="600" w:lineRule="exact"/>
        <w:ind w:firstLine="538"/>
        <w:jc w:val="left"/>
        <w:rPr>
          <w:rFonts w:ascii="宋体" w:hAnsi="宋体" w:cs="宋体" w:hint="eastAsia"/>
          <w:sz w:val="30"/>
          <w:szCs w:val="30"/>
        </w:rPr>
      </w:pPr>
      <w:r>
        <w:rPr>
          <w:rFonts w:ascii="宋体" w:hAnsi="宋体" w:cs="宋体" w:hint="eastAsia"/>
          <w:sz w:val="30"/>
          <w:szCs w:val="30"/>
        </w:rPr>
        <w:t>农业技术推广中心2018年度收入合计425.77万元。其中：财政拨款收入425.77万元，占总收入的100%；上级补助收入0万元，占总收入的0%；事业收入0万元，占总收入的0%；经营收入0万元，占总收入的0%；附属单位缴款收入0万元，占总收入的0%；其他收入0万元，占总收入的0%。与上年399.00万元对比，增加26.77万元，增加主要原因</w:t>
      </w:r>
      <w:r>
        <w:rPr>
          <w:rFonts w:ascii="宋体" w:hAnsi="宋体" w:cs="宋体" w:hint="eastAsia"/>
          <w:sz w:val="28"/>
          <w:szCs w:val="28"/>
        </w:rPr>
        <w:t>工资变动和单位缴纳养老保险增加。</w:t>
      </w:r>
    </w:p>
    <w:p w:rsidR="00B0626F" w:rsidRDefault="00B0626F" w:rsidP="00B0626F">
      <w:pPr>
        <w:ind w:firstLineChars="200" w:firstLine="600"/>
        <w:jc w:val="left"/>
        <w:rPr>
          <w:rFonts w:ascii="宋体" w:hAnsi="宋体" w:cs="宋体" w:hint="eastAsia"/>
          <w:sz w:val="30"/>
          <w:szCs w:val="30"/>
        </w:rPr>
      </w:pPr>
      <w:r>
        <w:rPr>
          <w:rFonts w:ascii="宋体" w:hAnsi="宋体" w:cs="宋体" w:hint="eastAsia"/>
          <w:sz w:val="30"/>
          <w:szCs w:val="30"/>
        </w:rPr>
        <w:lastRenderedPageBreak/>
        <w:t>二、支出决算情况说明</w:t>
      </w:r>
    </w:p>
    <w:p w:rsidR="00B0626F" w:rsidRDefault="00B0626F" w:rsidP="00B0626F">
      <w:pPr>
        <w:spacing w:line="600" w:lineRule="exact"/>
        <w:ind w:firstLineChars="200" w:firstLine="600"/>
        <w:rPr>
          <w:rFonts w:ascii="宋体" w:hAnsi="宋体" w:cs="宋体" w:hint="eastAsia"/>
          <w:kern w:val="0"/>
          <w:sz w:val="30"/>
          <w:szCs w:val="30"/>
        </w:rPr>
      </w:pPr>
      <w:r>
        <w:rPr>
          <w:rFonts w:ascii="宋体" w:hAnsi="宋体" w:cs="宋体" w:hint="eastAsia"/>
          <w:sz w:val="30"/>
          <w:szCs w:val="30"/>
        </w:rPr>
        <w:t>农业技术推广中心2018年度支出合计412.6万元。其中：</w:t>
      </w:r>
      <w:r>
        <w:rPr>
          <w:rFonts w:ascii="宋体" w:hAnsi="宋体" w:cs="宋体" w:hint="eastAsia"/>
          <w:kern w:val="0"/>
          <w:sz w:val="30"/>
          <w:szCs w:val="30"/>
        </w:rPr>
        <w:t>基本支出</w:t>
      </w:r>
      <w:r>
        <w:rPr>
          <w:rFonts w:ascii="宋体" w:hAnsi="宋体" w:cs="宋体" w:hint="eastAsia"/>
          <w:sz w:val="30"/>
          <w:szCs w:val="30"/>
        </w:rPr>
        <w:t>412.6</w:t>
      </w:r>
      <w:r>
        <w:rPr>
          <w:rFonts w:ascii="宋体" w:hAnsi="宋体" w:cs="宋体" w:hint="eastAsia"/>
          <w:kern w:val="0"/>
          <w:sz w:val="30"/>
          <w:szCs w:val="30"/>
        </w:rPr>
        <w:t>万元，占总支出的</w:t>
      </w:r>
      <w:r>
        <w:rPr>
          <w:rFonts w:ascii="宋体" w:hAnsi="宋体" w:cs="宋体" w:hint="eastAsia"/>
          <w:sz w:val="30"/>
          <w:szCs w:val="30"/>
        </w:rPr>
        <w:t>100</w:t>
      </w:r>
      <w:r>
        <w:rPr>
          <w:rFonts w:ascii="宋体" w:hAnsi="宋体" w:cs="宋体" w:hint="eastAsia"/>
          <w:kern w:val="0"/>
          <w:sz w:val="30"/>
          <w:szCs w:val="30"/>
        </w:rPr>
        <w:t>％；项目支出</w:t>
      </w:r>
      <w:r>
        <w:rPr>
          <w:rFonts w:ascii="宋体" w:hAnsi="宋体" w:cs="宋体" w:hint="eastAsia"/>
          <w:sz w:val="30"/>
          <w:szCs w:val="30"/>
        </w:rPr>
        <w:t>0</w:t>
      </w:r>
      <w:r>
        <w:rPr>
          <w:rFonts w:ascii="宋体" w:hAnsi="宋体" w:cs="宋体" w:hint="eastAsia"/>
          <w:kern w:val="0"/>
          <w:sz w:val="30"/>
          <w:szCs w:val="30"/>
        </w:rPr>
        <w:t>万元，占总支出的</w:t>
      </w:r>
      <w:r>
        <w:rPr>
          <w:rFonts w:ascii="宋体" w:hAnsi="宋体" w:cs="宋体" w:hint="eastAsia"/>
          <w:sz w:val="30"/>
          <w:szCs w:val="30"/>
        </w:rPr>
        <w:t>0</w:t>
      </w:r>
      <w:r>
        <w:rPr>
          <w:rFonts w:ascii="宋体" w:hAnsi="宋体" w:cs="宋体" w:hint="eastAsia"/>
          <w:kern w:val="0"/>
          <w:sz w:val="30"/>
          <w:szCs w:val="30"/>
        </w:rPr>
        <w:t>％；上缴上级支出、经营支出、对附属单位补助支出共</w:t>
      </w:r>
      <w:r>
        <w:rPr>
          <w:rFonts w:ascii="宋体" w:hAnsi="宋体" w:cs="宋体" w:hint="eastAsia"/>
          <w:sz w:val="30"/>
          <w:szCs w:val="30"/>
        </w:rPr>
        <w:t>0</w:t>
      </w:r>
      <w:r>
        <w:rPr>
          <w:rFonts w:ascii="宋体" w:hAnsi="宋体" w:cs="宋体" w:hint="eastAsia"/>
          <w:kern w:val="0"/>
          <w:sz w:val="30"/>
          <w:szCs w:val="30"/>
        </w:rPr>
        <w:t>万元，占总支出的</w:t>
      </w:r>
      <w:r>
        <w:rPr>
          <w:rFonts w:ascii="宋体" w:hAnsi="宋体" w:cs="宋体" w:hint="eastAsia"/>
          <w:sz w:val="30"/>
          <w:szCs w:val="30"/>
        </w:rPr>
        <w:t>0</w:t>
      </w:r>
      <w:r>
        <w:rPr>
          <w:rFonts w:ascii="宋体" w:hAnsi="宋体" w:cs="宋体" w:hint="eastAsia"/>
          <w:kern w:val="0"/>
          <w:sz w:val="30"/>
          <w:szCs w:val="30"/>
        </w:rPr>
        <w:t>％。</w:t>
      </w:r>
      <w:r>
        <w:rPr>
          <w:rFonts w:ascii="宋体" w:hAnsi="宋体" w:cs="宋体" w:hint="eastAsia"/>
          <w:sz w:val="30"/>
          <w:szCs w:val="30"/>
        </w:rPr>
        <w:t>与上年399.00万元对比支出增加,主要原因为工资调整。</w:t>
      </w:r>
    </w:p>
    <w:p w:rsidR="00B0626F" w:rsidRDefault="00B0626F" w:rsidP="00B0626F">
      <w:pPr>
        <w:widowControl/>
        <w:snapToGrid w:val="0"/>
        <w:spacing w:before="100" w:after="100" w:line="600" w:lineRule="exact"/>
        <w:ind w:firstLineChars="200" w:firstLine="600"/>
        <w:jc w:val="left"/>
        <w:rPr>
          <w:rFonts w:ascii="宋体" w:hAnsi="宋体" w:cs="宋体" w:hint="eastAsia"/>
          <w:sz w:val="30"/>
          <w:szCs w:val="30"/>
        </w:rPr>
      </w:pPr>
      <w:r>
        <w:rPr>
          <w:rFonts w:ascii="宋体" w:hAnsi="宋体" w:cs="宋体" w:hint="eastAsia"/>
          <w:sz w:val="30"/>
          <w:szCs w:val="30"/>
        </w:rPr>
        <w:t>（一）基本支出情况</w:t>
      </w:r>
    </w:p>
    <w:p w:rsidR="00B0626F" w:rsidRDefault="00B0626F" w:rsidP="00B0626F">
      <w:pPr>
        <w:widowControl/>
        <w:snapToGrid w:val="0"/>
        <w:spacing w:before="100" w:after="100" w:line="600" w:lineRule="exact"/>
        <w:ind w:firstLine="538"/>
        <w:jc w:val="left"/>
        <w:rPr>
          <w:rFonts w:ascii="宋体" w:hAnsi="宋体" w:cs="宋体" w:hint="eastAsia"/>
          <w:sz w:val="30"/>
          <w:szCs w:val="30"/>
        </w:rPr>
      </w:pPr>
      <w:r>
        <w:rPr>
          <w:rFonts w:ascii="宋体" w:hAnsi="宋体" w:cs="宋体" w:hint="eastAsia"/>
          <w:sz w:val="30"/>
          <w:szCs w:val="30"/>
        </w:rPr>
        <w:t>2018年度用于保障单位正常运转的日常支出412.66万元。与上年对比增加,主要原因为人员工资调整增加。包括基本工资、津贴补贴等人员经费支出</w:t>
      </w:r>
      <w:proofErr w:type="gramStart"/>
      <w:r>
        <w:rPr>
          <w:rFonts w:ascii="宋体" w:hAnsi="宋体" w:cs="宋体" w:hint="eastAsia"/>
          <w:sz w:val="30"/>
          <w:szCs w:val="30"/>
        </w:rPr>
        <w:t>占基本</w:t>
      </w:r>
      <w:proofErr w:type="gramEnd"/>
      <w:r>
        <w:rPr>
          <w:rFonts w:ascii="宋体" w:hAnsi="宋体" w:cs="宋体" w:hint="eastAsia"/>
          <w:sz w:val="30"/>
          <w:szCs w:val="30"/>
        </w:rPr>
        <w:t>支出的98.1％；办公费、印刷费、水电费、办公设备购置等日常公用经费</w:t>
      </w:r>
      <w:proofErr w:type="gramStart"/>
      <w:r>
        <w:rPr>
          <w:rFonts w:ascii="宋体" w:hAnsi="宋体" w:cs="宋体" w:hint="eastAsia"/>
          <w:sz w:val="30"/>
          <w:szCs w:val="30"/>
        </w:rPr>
        <w:t>占基本</w:t>
      </w:r>
      <w:proofErr w:type="gramEnd"/>
      <w:r>
        <w:rPr>
          <w:rFonts w:ascii="宋体" w:hAnsi="宋体" w:cs="宋体" w:hint="eastAsia"/>
          <w:sz w:val="30"/>
          <w:szCs w:val="30"/>
        </w:rPr>
        <w:t>支出的1.9％。</w:t>
      </w:r>
    </w:p>
    <w:p w:rsidR="00B0626F" w:rsidRDefault="00B0626F" w:rsidP="00B0626F">
      <w:pPr>
        <w:widowControl/>
        <w:snapToGrid w:val="0"/>
        <w:spacing w:before="100" w:after="100" w:line="600" w:lineRule="exact"/>
        <w:ind w:firstLineChars="200" w:firstLine="600"/>
        <w:jc w:val="left"/>
        <w:rPr>
          <w:rFonts w:ascii="宋体" w:hAnsi="宋体" w:cs="宋体" w:hint="eastAsia"/>
          <w:sz w:val="30"/>
          <w:szCs w:val="30"/>
        </w:rPr>
      </w:pPr>
      <w:r>
        <w:rPr>
          <w:rFonts w:ascii="宋体" w:hAnsi="宋体" w:cs="宋体" w:hint="eastAsia"/>
          <w:sz w:val="30"/>
          <w:szCs w:val="30"/>
        </w:rPr>
        <w:t>（二）项目支出情况</w:t>
      </w:r>
    </w:p>
    <w:p w:rsidR="00B0626F" w:rsidRDefault="00B0626F" w:rsidP="00B0626F">
      <w:pPr>
        <w:widowControl/>
        <w:snapToGrid w:val="0"/>
        <w:spacing w:before="100" w:after="100" w:line="600" w:lineRule="exact"/>
        <w:ind w:firstLineChars="200" w:firstLine="560"/>
        <w:jc w:val="left"/>
        <w:rPr>
          <w:rFonts w:ascii="宋体" w:hAnsi="宋体" w:cs="宋体" w:hint="eastAsia"/>
          <w:sz w:val="30"/>
          <w:szCs w:val="30"/>
        </w:rPr>
      </w:pPr>
      <w:r>
        <w:rPr>
          <w:rFonts w:ascii="宋体" w:hAnsi="宋体" w:cs="宋体" w:hint="eastAsia"/>
          <w:sz w:val="28"/>
          <w:szCs w:val="28"/>
        </w:rPr>
        <w:t>2018年度农业技术推广中心无项目支出。</w:t>
      </w:r>
    </w:p>
    <w:p w:rsidR="00B0626F" w:rsidRDefault="00B0626F" w:rsidP="00B0626F">
      <w:pPr>
        <w:widowControl/>
        <w:snapToGrid w:val="0"/>
        <w:spacing w:before="100" w:after="100" w:line="600" w:lineRule="exact"/>
        <w:ind w:firstLineChars="200" w:firstLine="600"/>
        <w:jc w:val="left"/>
        <w:rPr>
          <w:rFonts w:ascii="宋体" w:hAnsi="宋体" w:cs="宋体" w:hint="eastAsia"/>
          <w:sz w:val="30"/>
          <w:szCs w:val="30"/>
        </w:rPr>
      </w:pPr>
      <w:r>
        <w:rPr>
          <w:rFonts w:ascii="宋体" w:hAnsi="宋体" w:cs="宋体" w:hint="eastAsia"/>
          <w:sz w:val="30"/>
          <w:szCs w:val="30"/>
        </w:rPr>
        <w:t>三、一般公共预算财政拨款支出决算情况说明</w:t>
      </w:r>
    </w:p>
    <w:p w:rsidR="00B0626F" w:rsidRDefault="00B0626F" w:rsidP="00B0626F">
      <w:pPr>
        <w:widowControl/>
        <w:snapToGrid w:val="0"/>
        <w:spacing w:before="100" w:after="100" w:line="600" w:lineRule="exact"/>
        <w:ind w:firstLineChars="200" w:firstLine="600"/>
        <w:jc w:val="left"/>
        <w:rPr>
          <w:rFonts w:ascii="宋体" w:hAnsi="宋体" w:cs="宋体" w:hint="eastAsia"/>
          <w:sz w:val="30"/>
          <w:szCs w:val="30"/>
        </w:rPr>
      </w:pPr>
      <w:r>
        <w:rPr>
          <w:rFonts w:ascii="宋体" w:hAnsi="宋体" w:cs="宋体" w:hint="eastAsia"/>
          <w:sz w:val="30"/>
          <w:szCs w:val="30"/>
        </w:rPr>
        <w:t>（一）一般公共预算财政拨款支出决算总体情况</w:t>
      </w:r>
    </w:p>
    <w:p w:rsidR="00B0626F" w:rsidRDefault="00B0626F" w:rsidP="00B0626F">
      <w:pPr>
        <w:widowControl/>
        <w:snapToGrid w:val="0"/>
        <w:spacing w:before="100" w:after="100" w:line="600" w:lineRule="exact"/>
        <w:ind w:firstLineChars="200" w:firstLine="600"/>
        <w:jc w:val="left"/>
        <w:rPr>
          <w:rFonts w:ascii="宋体" w:hAnsi="宋体" w:cs="宋体" w:hint="eastAsia"/>
          <w:kern w:val="0"/>
          <w:sz w:val="30"/>
          <w:szCs w:val="30"/>
        </w:rPr>
      </w:pPr>
      <w:r>
        <w:rPr>
          <w:rFonts w:ascii="宋体" w:hAnsi="宋体" w:cs="宋体" w:hint="eastAsia"/>
          <w:sz w:val="30"/>
          <w:szCs w:val="30"/>
        </w:rPr>
        <w:t>梁河县农业技术推广中心2018年度一般公共预算财政拨款支出</w:t>
      </w:r>
      <w:r>
        <w:rPr>
          <w:rFonts w:ascii="宋体" w:hAnsi="宋体" w:cs="宋体" w:hint="eastAsia"/>
          <w:kern w:val="0"/>
          <w:sz w:val="30"/>
          <w:szCs w:val="30"/>
        </w:rPr>
        <w:t>425.77万元,占本年支出合计的</w:t>
      </w:r>
      <w:r>
        <w:rPr>
          <w:rFonts w:ascii="宋体" w:hAnsi="宋体" w:cs="宋体" w:hint="eastAsia"/>
          <w:sz w:val="30"/>
          <w:szCs w:val="30"/>
        </w:rPr>
        <w:t>100</w:t>
      </w:r>
      <w:r>
        <w:rPr>
          <w:rFonts w:ascii="宋体" w:hAnsi="宋体" w:cs="宋体" w:hint="eastAsia"/>
          <w:kern w:val="0"/>
          <w:sz w:val="30"/>
          <w:szCs w:val="30"/>
        </w:rPr>
        <w:t>%。与上年399.00万元对比</w:t>
      </w:r>
      <w:r>
        <w:rPr>
          <w:rFonts w:ascii="宋体" w:hAnsi="宋体" w:cs="宋体" w:hint="eastAsia"/>
          <w:sz w:val="30"/>
          <w:szCs w:val="30"/>
        </w:rPr>
        <w:t>,主要</w:t>
      </w:r>
      <w:r>
        <w:rPr>
          <w:rFonts w:ascii="宋体" w:hAnsi="宋体" w:cs="宋体" w:hint="eastAsia"/>
          <w:kern w:val="0"/>
          <w:sz w:val="30"/>
          <w:szCs w:val="30"/>
        </w:rPr>
        <w:t>原因分析人员工资调整。</w:t>
      </w:r>
    </w:p>
    <w:p w:rsidR="00B0626F" w:rsidRDefault="00B0626F" w:rsidP="00B0626F">
      <w:pPr>
        <w:widowControl/>
        <w:snapToGrid w:val="0"/>
        <w:spacing w:before="100" w:after="100" w:line="600" w:lineRule="exact"/>
        <w:ind w:firstLineChars="200" w:firstLine="600"/>
        <w:jc w:val="left"/>
        <w:rPr>
          <w:rFonts w:ascii="宋体" w:hAnsi="宋体" w:cs="宋体" w:hint="eastAsia"/>
          <w:sz w:val="30"/>
          <w:szCs w:val="30"/>
        </w:rPr>
      </w:pPr>
      <w:r>
        <w:rPr>
          <w:rFonts w:ascii="宋体" w:hAnsi="宋体" w:cs="宋体" w:hint="eastAsia"/>
          <w:sz w:val="30"/>
          <w:szCs w:val="30"/>
        </w:rPr>
        <w:t>（二）一般公共预算财政拨款支出决算具体情况</w:t>
      </w:r>
      <w:r>
        <w:rPr>
          <w:rFonts w:ascii="宋体" w:hAnsi="宋体" w:cs="宋体" w:hint="eastAsia"/>
          <w:sz w:val="30"/>
          <w:szCs w:val="30"/>
        </w:rPr>
        <w:tab/>
      </w:r>
      <w:r>
        <w:rPr>
          <w:rFonts w:ascii="宋体" w:hAnsi="宋体" w:cs="宋体" w:hint="eastAsia"/>
          <w:sz w:val="30"/>
          <w:szCs w:val="30"/>
        </w:rPr>
        <w:tab/>
      </w:r>
      <w:r>
        <w:rPr>
          <w:rFonts w:ascii="宋体" w:hAnsi="宋体" w:cs="宋体" w:hint="eastAsia"/>
          <w:sz w:val="30"/>
          <w:szCs w:val="30"/>
        </w:rPr>
        <w:tab/>
      </w:r>
    </w:p>
    <w:p w:rsidR="00B0626F" w:rsidRDefault="00B0626F" w:rsidP="00B0626F">
      <w:pPr>
        <w:widowControl/>
        <w:snapToGrid w:val="0"/>
        <w:spacing w:before="100" w:after="100" w:line="360" w:lineRule="auto"/>
        <w:ind w:firstLineChars="200" w:firstLine="600"/>
        <w:jc w:val="left"/>
        <w:rPr>
          <w:rFonts w:ascii="宋体" w:hAnsi="宋体" w:cs="宋体" w:hint="eastAsia"/>
          <w:kern w:val="0"/>
          <w:sz w:val="30"/>
          <w:szCs w:val="30"/>
        </w:rPr>
      </w:pPr>
      <w:r>
        <w:rPr>
          <w:rFonts w:ascii="宋体" w:hAnsi="宋体" w:cs="宋体" w:hint="eastAsia"/>
          <w:kern w:val="0"/>
          <w:sz w:val="30"/>
          <w:szCs w:val="30"/>
        </w:rPr>
        <w:t>1.一般公共服务（类）支出0万元</w:t>
      </w:r>
      <w:r>
        <w:rPr>
          <w:rFonts w:ascii="宋体" w:hAnsi="宋体" w:cs="宋体" w:hint="eastAsia"/>
          <w:sz w:val="28"/>
          <w:szCs w:val="28"/>
        </w:rPr>
        <w:t>。</w:t>
      </w:r>
    </w:p>
    <w:p w:rsidR="00B0626F" w:rsidRDefault="00B0626F" w:rsidP="00B0626F">
      <w:pPr>
        <w:widowControl/>
        <w:snapToGrid w:val="0"/>
        <w:spacing w:before="100" w:after="100" w:line="360" w:lineRule="auto"/>
        <w:ind w:firstLineChars="200" w:firstLine="600"/>
        <w:jc w:val="left"/>
        <w:rPr>
          <w:rFonts w:ascii="宋体" w:hAnsi="宋体" w:cs="宋体" w:hint="eastAsia"/>
          <w:kern w:val="0"/>
          <w:sz w:val="30"/>
          <w:szCs w:val="30"/>
        </w:rPr>
      </w:pPr>
      <w:r>
        <w:rPr>
          <w:rFonts w:ascii="宋体" w:hAnsi="宋体" w:cs="宋体" w:hint="eastAsia"/>
          <w:kern w:val="0"/>
          <w:sz w:val="30"/>
          <w:szCs w:val="30"/>
        </w:rPr>
        <w:lastRenderedPageBreak/>
        <w:t>2.外交（类）支出</w:t>
      </w:r>
      <w:r>
        <w:rPr>
          <w:rFonts w:ascii="宋体" w:hAnsi="宋体" w:cs="宋体" w:hint="eastAsia"/>
          <w:sz w:val="30"/>
          <w:szCs w:val="30"/>
        </w:rPr>
        <w:t>0</w:t>
      </w:r>
      <w:r>
        <w:rPr>
          <w:rFonts w:ascii="宋体" w:hAnsi="宋体" w:cs="宋体" w:hint="eastAsia"/>
          <w:kern w:val="0"/>
          <w:sz w:val="30"/>
          <w:szCs w:val="30"/>
        </w:rPr>
        <w:t>万元，</w:t>
      </w:r>
      <w:r>
        <w:rPr>
          <w:rFonts w:ascii="宋体" w:hAnsi="宋体" w:cs="宋体" w:hint="eastAsia"/>
          <w:sz w:val="30"/>
          <w:szCs w:val="30"/>
        </w:rPr>
        <w:t>占一般公共预算财政拨款总支出的0%。</w:t>
      </w:r>
      <w:r>
        <w:rPr>
          <w:rFonts w:ascii="宋体" w:hAnsi="宋体" w:cs="宋体" w:hint="eastAsia"/>
          <w:kern w:val="0"/>
          <w:sz w:val="30"/>
          <w:szCs w:val="30"/>
        </w:rPr>
        <w:t>；</w:t>
      </w:r>
    </w:p>
    <w:p w:rsidR="00B0626F" w:rsidRDefault="00B0626F" w:rsidP="00B0626F">
      <w:pPr>
        <w:widowControl/>
        <w:snapToGrid w:val="0"/>
        <w:spacing w:before="100" w:after="100" w:line="360" w:lineRule="auto"/>
        <w:ind w:firstLineChars="200" w:firstLine="600"/>
        <w:jc w:val="left"/>
        <w:rPr>
          <w:rFonts w:ascii="宋体" w:hAnsi="宋体" w:cs="宋体" w:hint="eastAsia"/>
          <w:sz w:val="30"/>
          <w:szCs w:val="30"/>
        </w:rPr>
      </w:pPr>
      <w:r>
        <w:rPr>
          <w:rFonts w:ascii="宋体" w:hAnsi="宋体" w:cs="宋体" w:hint="eastAsia"/>
          <w:kern w:val="0"/>
          <w:sz w:val="30"/>
          <w:szCs w:val="30"/>
        </w:rPr>
        <w:t>3.国防（类）支出</w:t>
      </w:r>
      <w:r>
        <w:rPr>
          <w:rFonts w:ascii="宋体" w:hAnsi="宋体" w:cs="宋体" w:hint="eastAsia"/>
          <w:sz w:val="30"/>
          <w:szCs w:val="30"/>
        </w:rPr>
        <w:t>0</w:t>
      </w:r>
      <w:r>
        <w:rPr>
          <w:rFonts w:ascii="宋体" w:hAnsi="宋体" w:cs="宋体" w:hint="eastAsia"/>
          <w:kern w:val="0"/>
          <w:sz w:val="30"/>
          <w:szCs w:val="30"/>
        </w:rPr>
        <w:t>万元，</w:t>
      </w:r>
      <w:r>
        <w:rPr>
          <w:rFonts w:ascii="宋体" w:hAnsi="宋体" w:cs="宋体" w:hint="eastAsia"/>
          <w:sz w:val="30"/>
          <w:szCs w:val="30"/>
        </w:rPr>
        <w:t>占一般公共预算财政拨款总支出的0%。</w:t>
      </w:r>
    </w:p>
    <w:p w:rsidR="00B0626F" w:rsidRDefault="00B0626F" w:rsidP="00B0626F">
      <w:pPr>
        <w:widowControl/>
        <w:snapToGrid w:val="0"/>
        <w:spacing w:before="100" w:after="100" w:line="360" w:lineRule="auto"/>
        <w:ind w:firstLineChars="200" w:firstLine="600"/>
        <w:jc w:val="left"/>
        <w:rPr>
          <w:rFonts w:ascii="宋体" w:hAnsi="宋体" w:cs="宋体" w:hint="eastAsia"/>
          <w:kern w:val="0"/>
          <w:sz w:val="30"/>
          <w:szCs w:val="30"/>
        </w:rPr>
      </w:pPr>
      <w:r>
        <w:rPr>
          <w:rFonts w:ascii="宋体" w:hAnsi="宋体" w:cs="宋体" w:hint="eastAsia"/>
          <w:kern w:val="0"/>
          <w:sz w:val="30"/>
          <w:szCs w:val="30"/>
        </w:rPr>
        <w:t>4.公共安全（类）支出</w:t>
      </w:r>
      <w:r>
        <w:rPr>
          <w:rFonts w:ascii="宋体" w:hAnsi="宋体" w:cs="宋体" w:hint="eastAsia"/>
          <w:sz w:val="30"/>
          <w:szCs w:val="30"/>
        </w:rPr>
        <w:t>0</w:t>
      </w:r>
      <w:r>
        <w:rPr>
          <w:rFonts w:ascii="宋体" w:hAnsi="宋体" w:cs="宋体" w:hint="eastAsia"/>
          <w:kern w:val="0"/>
          <w:sz w:val="30"/>
          <w:szCs w:val="30"/>
        </w:rPr>
        <w:t>万元，</w:t>
      </w:r>
      <w:r>
        <w:rPr>
          <w:rFonts w:ascii="宋体" w:hAnsi="宋体" w:cs="宋体" w:hint="eastAsia"/>
          <w:sz w:val="30"/>
          <w:szCs w:val="30"/>
        </w:rPr>
        <w:t>占一般公共预算财政拨款总支出的0X%。</w:t>
      </w:r>
    </w:p>
    <w:p w:rsidR="00B0626F" w:rsidRDefault="00B0626F" w:rsidP="00B0626F">
      <w:pPr>
        <w:widowControl/>
        <w:snapToGrid w:val="0"/>
        <w:spacing w:before="100" w:after="100" w:line="360" w:lineRule="auto"/>
        <w:ind w:firstLineChars="200" w:firstLine="600"/>
        <w:jc w:val="left"/>
        <w:rPr>
          <w:rFonts w:ascii="宋体" w:hAnsi="宋体" w:cs="宋体" w:hint="eastAsia"/>
          <w:sz w:val="30"/>
          <w:szCs w:val="30"/>
        </w:rPr>
      </w:pPr>
      <w:r>
        <w:rPr>
          <w:rFonts w:ascii="宋体" w:hAnsi="宋体" w:cs="宋体" w:hint="eastAsia"/>
          <w:sz w:val="30"/>
          <w:szCs w:val="30"/>
        </w:rPr>
        <w:t>四、一般公共预算财政拨款“三公”经费支出决算情况说明</w:t>
      </w:r>
    </w:p>
    <w:p w:rsidR="00B0626F" w:rsidRDefault="00B0626F" w:rsidP="00B0626F">
      <w:pPr>
        <w:widowControl/>
        <w:snapToGrid w:val="0"/>
        <w:spacing w:before="100" w:after="100" w:line="360" w:lineRule="auto"/>
        <w:ind w:firstLineChars="200" w:firstLine="600"/>
        <w:jc w:val="left"/>
        <w:rPr>
          <w:rFonts w:ascii="宋体" w:hAnsi="宋体" w:cs="宋体" w:hint="eastAsia"/>
          <w:sz w:val="30"/>
          <w:szCs w:val="30"/>
        </w:rPr>
      </w:pPr>
      <w:r>
        <w:rPr>
          <w:rFonts w:ascii="宋体" w:hAnsi="宋体" w:cs="宋体" w:hint="eastAsia"/>
          <w:sz w:val="30"/>
          <w:szCs w:val="30"/>
        </w:rPr>
        <w:t>(</w:t>
      </w:r>
      <w:proofErr w:type="gramStart"/>
      <w:r>
        <w:rPr>
          <w:rFonts w:ascii="宋体" w:hAnsi="宋体" w:cs="宋体" w:hint="eastAsia"/>
          <w:sz w:val="30"/>
          <w:szCs w:val="30"/>
        </w:rPr>
        <w:t>一</w:t>
      </w:r>
      <w:proofErr w:type="gramEnd"/>
      <w:r>
        <w:rPr>
          <w:rFonts w:ascii="宋体" w:hAnsi="宋体" w:cs="宋体" w:hint="eastAsia"/>
          <w:sz w:val="30"/>
          <w:szCs w:val="30"/>
        </w:rPr>
        <w:t>) 一般公共预算财政拨款“三公”经费支出决算总体情况</w:t>
      </w:r>
    </w:p>
    <w:p w:rsidR="00B0626F" w:rsidRDefault="00B0626F" w:rsidP="00B0626F">
      <w:pPr>
        <w:widowControl/>
        <w:snapToGrid w:val="0"/>
        <w:spacing w:before="100" w:after="100" w:line="360" w:lineRule="auto"/>
        <w:ind w:firstLineChars="200" w:firstLine="600"/>
        <w:jc w:val="left"/>
        <w:rPr>
          <w:rFonts w:ascii="宋体" w:hAnsi="宋体" w:cs="宋体" w:hint="eastAsia"/>
          <w:sz w:val="30"/>
          <w:szCs w:val="30"/>
        </w:rPr>
      </w:pPr>
      <w:r>
        <w:rPr>
          <w:rFonts w:ascii="宋体" w:hAnsi="宋体" w:cs="宋体" w:hint="eastAsia"/>
          <w:sz w:val="30"/>
          <w:szCs w:val="30"/>
        </w:rPr>
        <w:t>农业技术推广中心2018年度一般公共预算财政拨款“三公”经费支出预算为0.6万元，支出决算为0.4万元，完成预算的66.67%。其中：因公出国（境）费支出决算为0万元，完成预算的0%；公务用车购置及运行费支出决算为0.4万元，完成预算的66.67%；公务接待费支出决算为0万元，完成预算的0%。2018年度一般公共预算财政拨款“三公”经费支出决算数小于预算数的主要原因预算的公用经费没有拨付完。</w:t>
      </w:r>
    </w:p>
    <w:p w:rsidR="00B0626F" w:rsidRDefault="00B0626F" w:rsidP="00B0626F">
      <w:pPr>
        <w:widowControl/>
        <w:snapToGrid w:val="0"/>
        <w:spacing w:before="100" w:after="100" w:line="360" w:lineRule="auto"/>
        <w:ind w:firstLineChars="200" w:firstLine="600"/>
        <w:jc w:val="left"/>
        <w:rPr>
          <w:rFonts w:ascii="宋体" w:hAnsi="宋体" w:cs="宋体" w:hint="eastAsia"/>
          <w:sz w:val="30"/>
          <w:szCs w:val="30"/>
        </w:rPr>
      </w:pPr>
      <w:r>
        <w:rPr>
          <w:rFonts w:ascii="宋体" w:hAnsi="宋体" w:cs="宋体" w:hint="eastAsia"/>
          <w:sz w:val="30"/>
          <w:szCs w:val="30"/>
        </w:rPr>
        <w:t>2018年度一般公共预算财政拨款“三公”经费支出决算数比2017年增加0.05万元，增长12.5%。其中：因公出国（境）费支出决算增加/减少0万元，增长/下降0%；公务用车购置及运行费支出决算增加0.05万元，增长12.5%；公务接待费支出决算增加/减少0万元，增长/下降0%。2018年度一般公共预算财政拨款“三公”经费支出决算增加的主要原因为维修费的增加。</w:t>
      </w:r>
    </w:p>
    <w:p w:rsidR="00B0626F" w:rsidRDefault="00B0626F" w:rsidP="00B0626F">
      <w:pPr>
        <w:widowControl/>
        <w:snapToGrid w:val="0"/>
        <w:spacing w:before="100" w:after="100" w:line="360" w:lineRule="auto"/>
        <w:ind w:firstLineChars="200" w:firstLine="600"/>
        <w:jc w:val="left"/>
        <w:rPr>
          <w:rFonts w:ascii="宋体" w:hAnsi="宋体" w:cs="宋体" w:hint="eastAsia"/>
          <w:sz w:val="30"/>
          <w:szCs w:val="30"/>
        </w:rPr>
      </w:pPr>
    </w:p>
    <w:p w:rsidR="00B0626F" w:rsidRDefault="00B0626F" w:rsidP="00B0626F">
      <w:pPr>
        <w:widowControl/>
        <w:snapToGrid w:val="0"/>
        <w:spacing w:before="100" w:after="100" w:line="360" w:lineRule="auto"/>
        <w:ind w:firstLineChars="200" w:firstLine="600"/>
        <w:jc w:val="left"/>
        <w:rPr>
          <w:rFonts w:ascii="宋体" w:hAnsi="宋体" w:cs="宋体" w:hint="eastAsia"/>
          <w:sz w:val="30"/>
          <w:szCs w:val="30"/>
        </w:rPr>
      </w:pPr>
      <w:r>
        <w:rPr>
          <w:rFonts w:ascii="宋体" w:hAnsi="宋体" w:cs="宋体" w:hint="eastAsia"/>
          <w:sz w:val="30"/>
          <w:szCs w:val="30"/>
        </w:rPr>
        <w:t>(二) 一般公共预算财政拨款“三公”经费支出决算具体情况</w:t>
      </w:r>
    </w:p>
    <w:p w:rsidR="00B0626F" w:rsidRDefault="00B0626F" w:rsidP="00B0626F">
      <w:pPr>
        <w:widowControl/>
        <w:snapToGrid w:val="0"/>
        <w:spacing w:before="100" w:after="100" w:line="360" w:lineRule="auto"/>
        <w:ind w:firstLineChars="200" w:firstLine="600"/>
        <w:jc w:val="left"/>
        <w:rPr>
          <w:rFonts w:ascii="宋体" w:hAnsi="宋体" w:cs="宋体" w:hint="eastAsia"/>
          <w:sz w:val="30"/>
          <w:szCs w:val="30"/>
        </w:rPr>
      </w:pPr>
      <w:r>
        <w:rPr>
          <w:rFonts w:ascii="宋体" w:hAnsi="宋体" w:cs="宋体" w:hint="eastAsia"/>
          <w:sz w:val="30"/>
          <w:szCs w:val="30"/>
        </w:rPr>
        <w:t>2018年度一般公共预算财政拨款“三公”经费支出决算中，因公出国（境）费支出0万元，占0%；公务用车购置及运行维护费支出0.4万元，占100%；公务接待费支出0万元，占0%。具体情况如下：</w:t>
      </w:r>
    </w:p>
    <w:p w:rsidR="00B0626F" w:rsidRDefault="00B0626F" w:rsidP="00B0626F">
      <w:pPr>
        <w:widowControl/>
        <w:numPr>
          <w:ilvl w:val="0"/>
          <w:numId w:val="1"/>
        </w:numPr>
        <w:snapToGrid w:val="0"/>
        <w:spacing w:before="100" w:after="100" w:line="360" w:lineRule="auto"/>
        <w:ind w:firstLineChars="200" w:firstLine="602"/>
        <w:jc w:val="left"/>
        <w:rPr>
          <w:rFonts w:ascii="宋体" w:hAnsi="宋体" w:cs="宋体" w:hint="eastAsia"/>
          <w:sz w:val="30"/>
          <w:szCs w:val="30"/>
        </w:rPr>
      </w:pPr>
      <w:r>
        <w:rPr>
          <w:rFonts w:ascii="宋体" w:hAnsi="宋体" w:cs="宋体" w:hint="eastAsia"/>
          <w:b/>
          <w:sz w:val="30"/>
          <w:szCs w:val="30"/>
        </w:rPr>
        <w:t>因公出国（境）费</w:t>
      </w:r>
      <w:r>
        <w:rPr>
          <w:rFonts w:ascii="宋体" w:hAnsi="宋体" w:cs="宋体" w:hint="eastAsia"/>
          <w:sz w:val="30"/>
          <w:szCs w:val="30"/>
        </w:rPr>
        <w:t>支出0万元，共安排因公出国（境）团组0个，累计0人次。</w:t>
      </w:r>
    </w:p>
    <w:p w:rsidR="00B0626F" w:rsidRDefault="00B0626F" w:rsidP="00B0626F">
      <w:pPr>
        <w:widowControl/>
        <w:numPr>
          <w:ilvl w:val="0"/>
          <w:numId w:val="1"/>
        </w:numPr>
        <w:snapToGrid w:val="0"/>
        <w:spacing w:before="100" w:after="100" w:line="360" w:lineRule="auto"/>
        <w:ind w:firstLineChars="200" w:firstLine="602"/>
        <w:jc w:val="left"/>
        <w:rPr>
          <w:rFonts w:ascii="宋体" w:hAnsi="宋体" w:cs="宋体" w:hint="eastAsia"/>
          <w:sz w:val="30"/>
          <w:szCs w:val="30"/>
        </w:rPr>
      </w:pPr>
      <w:r>
        <w:rPr>
          <w:rFonts w:ascii="宋体" w:hAnsi="宋体" w:cs="宋体" w:hint="eastAsia"/>
          <w:b/>
          <w:sz w:val="30"/>
          <w:szCs w:val="30"/>
        </w:rPr>
        <w:t>2. 公务用车购置及运行维护费</w:t>
      </w:r>
      <w:r>
        <w:rPr>
          <w:rFonts w:ascii="宋体" w:hAnsi="宋体" w:cs="宋体" w:hint="eastAsia"/>
          <w:sz w:val="30"/>
          <w:szCs w:val="30"/>
        </w:rPr>
        <w:t>支出0.4万元。其中：</w:t>
      </w:r>
    </w:p>
    <w:p w:rsidR="00B0626F" w:rsidRDefault="00B0626F" w:rsidP="00B0626F">
      <w:pPr>
        <w:widowControl/>
        <w:snapToGrid w:val="0"/>
        <w:spacing w:before="100" w:after="100" w:line="360" w:lineRule="auto"/>
        <w:ind w:firstLineChars="200" w:firstLine="602"/>
        <w:jc w:val="left"/>
        <w:rPr>
          <w:rFonts w:ascii="宋体" w:hAnsi="宋体" w:cs="宋体" w:hint="eastAsia"/>
          <w:sz w:val="30"/>
          <w:szCs w:val="30"/>
        </w:rPr>
      </w:pPr>
      <w:r>
        <w:rPr>
          <w:rFonts w:ascii="宋体" w:hAnsi="宋体" w:cs="宋体" w:hint="eastAsia"/>
          <w:b/>
          <w:sz w:val="30"/>
          <w:szCs w:val="30"/>
        </w:rPr>
        <w:t>公务用车购置</w:t>
      </w:r>
      <w:r>
        <w:rPr>
          <w:rFonts w:ascii="宋体" w:hAnsi="宋体" w:cs="宋体" w:hint="eastAsia"/>
          <w:sz w:val="30"/>
          <w:szCs w:val="30"/>
        </w:rPr>
        <w:t>支出0万元，购置车辆0辆。</w:t>
      </w:r>
    </w:p>
    <w:p w:rsidR="00B0626F" w:rsidRDefault="00B0626F" w:rsidP="00B0626F">
      <w:pPr>
        <w:widowControl/>
        <w:snapToGrid w:val="0"/>
        <w:spacing w:before="100" w:after="100" w:line="360" w:lineRule="auto"/>
        <w:ind w:firstLineChars="200" w:firstLine="602"/>
        <w:jc w:val="left"/>
        <w:rPr>
          <w:rFonts w:ascii="宋体" w:hAnsi="宋体" w:cs="宋体" w:hint="eastAsia"/>
          <w:sz w:val="30"/>
          <w:szCs w:val="30"/>
        </w:rPr>
      </w:pPr>
      <w:r>
        <w:rPr>
          <w:rFonts w:ascii="宋体" w:hAnsi="宋体" w:cs="宋体" w:hint="eastAsia"/>
          <w:b/>
          <w:sz w:val="30"/>
          <w:szCs w:val="30"/>
        </w:rPr>
        <w:t>公务用车运行维护</w:t>
      </w:r>
      <w:r>
        <w:rPr>
          <w:rFonts w:ascii="宋体" w:hAnsi="宋体" w:cs="宋体" w:hint="eastAsia"/>
          <w:sz w:val="30"/>
          <w:szCs w:val="30"/>
        </w:rPr>
        <w:t>支出0.4万元，开支一般公共预算财政拨款的公务用车保有量为1辆。主要用于所需车辆燃料费、维修费、过路过桥费、保险费等。</w:t>
      </w:r>
    </w:p>
    <w:p w:rsidR="00B0626F" w:rsidRDefault="00B0626F" w:rsidP="00B0626F">
      <w:pPr>
        <w:widowControl/>
        <w:snapToGrid w:val="0"/>
        <w:spacing w:before="100" w:after="100" w:line="360" w:lineRule="auto"/>
        <w:ind w:firstLineChars="200" w:firstLine="602"/>
        <w:jc w:val="left"/>
        <w:rPr>
          <w:rFonts w:ascii="宋体" w:hAnsi="宋体" w:cs="宋体" w:hint="eastAsia"/>
          <w:sz w:val="30"/>
          <w:szCs w:val="30"/>
        </w:rPr>
      </w:pPr>
      <w:r>
        <w:rPr>
          <w:rFonts w:ascii="宋体" w:hAnsi="宋体" w:cs="宋体" w:hint="eastAsia"/>
          <w:b/>
          <w:sz w:val="30"/>
          <w:szCs w:val="30"/>
        </w:rPr>
        <w:t>3.公务接待费</w:t>
      </w:r>
      <w:r>
        <w:rPr>
          <w:rFonts w:ascii="宋体" w:hAnsi="宋体" w:cs="宋体" w:hint="eastAsia"/>
          <w:sz w:val="30"/>
          <w:szCs w:val="30"/>
        </w:rPr>
        <w:t>支出0万元。其中：</w:t>
      </w:r>
    </w:p>
    <w:p w:rsidR="00B0626F" w:rsidRDefault="00B0626F" w:rsidP="00B0626F">
      <w:pPr>
        <w:widowControl/>
        <w:snapToGrid w:val="0"/>
        <w:spacing w:before="100" w:after="100" w:line="360" w:lineRule="auto"/>
        <w:ind w:firstLineChars="200" w:firstLine="602"/>
        <w:jc w:val="left"/>
        <w:rPr>
          <w:rFonts w:ascii="宋体" w:hAnsi="宋体" w:cs="宋体" w:hint="eastAsia"/>
          <w:sz w:val="30"/>
          <w:szCs w:val="30"/>
        </w:rPr>
      </w:pPr>
      <w:r>
        <w:rPr>
          <w:rFonts w:ascii="宋体" w:hAnsi="宋体" w:cs="宋体" w:hint="eastAsia"/>
          <w:b/>
          <w:sz w:val="30"/>
          <w:szCs w:val="30"/>
        </w:rPr>
        <w:t>国内接待费</w:t>
      </w:r>
      <w:r>
        <w:rPr>
          <w:rFonts w:ascii="宋体" w:hAnsi="宋体" w:cs="宋体" w:hint="eastAsia"/>
          <w:sz w:val="30"/>
          <w:szCs w:val="30"/>
        </w:rPr>
        <w:t>支出0万元。</w:t>
      </w:r>
    </w:p>
    <w:p w:rsidR="00B0626F" w:rsidRDefault="00B0626F" w:rsidP="00B0626F">
      <w:pPr>
        <w:widowControl/>
        <w:snapToGrid w:val="0"/>
        <w:spacing w:before="100" w:after="100" w:line="360" w:lineRule="auto"/>
        <w:ind w:firstLineChars="200" w:firstLine="602"/>
        <w:jc w:val="left"/>
        <w:rPr>
          <w:rFonts w:ascii="宋体" w:hAnsi="宋体" w:cs="宋体" w:hint="eastAsia"/>
          <w:sz w:val="30"/>
          <w:szCs w:val="30"/>
        </w:rPr>
      </w:pPr>
      <w:r>
        <w:rPr>
          <w:rFonts w:ascii="宋体" w:hAnsi="宋体" w:cs="宋体" w:hint="eastAsia"/>
          <w:b/>
          <w:sz w:val="30"/>
          <w:szCs w:val="30"/>
        </w:rPr>
        <w:t>国（境）外接待费</w:t>
      </w:r>
      <w:r>
        <w:rPr>
          <w:rFonts w:ascii="宋体" w:hAnsi="宋体" w:cs="宋体" w:hint="eastAsia"/>
          <w:sz w:val="30"/>
          <w:szCs w:val="30"/>
        </w:rPr>
        <w:t>支出0万元。</w:t>
      </w:r>
    </w:p>
    <w:p w:rsidR="00B0626F" w:rsidRDefault="00B0626F" w:rsidP="00B0626F">
      <w:pPr>
        <w:widowControl/>
        <w:snapToGrid w:val="0"/>
        <w:spacing w:before="100" w:after="100" w:line="360" w:lineRule="auto"/>
        <w:ind w:firstLineChars="200" w:firstLine="640"/>
        <w:jc w:val="left"/>
        <w:rPr>
          <w:rFonts w:ascii="宋体" w:hAnsi="宋体" w:cs="宋体" w:hint="eastAsia"/>
          <w:sz w:val="32"/>
          <w:szCs w:val="32"/>
        </w:rPr>
      </w:pPr>
      <w:r>
        <w:rPr>
          <w:rFonts w:ascii="宋体" w:hAnsi="宋体" w:cs="宋体" w:hint="eastAsia"/>
          <w:sz w:val="32"/>
          <w:szCs w:val="32"/>
        </w:rPr>
        <w:t>第四部分  其他重要事项及相关口径情况说明</w:t>
      </w:r>
    </w:p>
    <w:p w:rsidR="00B0626F" w:rsidRDefault="00B0626F" w:rsidP="00B0626F">
      <w:pPr>
        <w:ind w:firstLineChars="200" w:firstLine="600"/>
        <w:jc w:val="left"/>
        <w:rPr>
          <w:rFonts w:ascii="宋体" w:hAnsi="宋体" w:cs="宋体" w:hint="eastAsia"/>
          <w:sz w:val="30"/>
          <w:szCs w:val="30"/>
        </w:rPr>
      </w:pPr>
      <w:r>
        <w:rPr>
          <w:rFonts w:ascii="宋体" w:hAnsi="宋体" w:cs="宋体" w:hint="eastAsia"/>
          <w:sz w:val="30"/>
          <w:szCs w:val="30"/>
        </w:rPr>
        <w:t>一、机关运行经费支出情况</w:t>
      </w:r>
    </w:p>
    <w:p w:rsidR="00B0626F" w:rsidRDefault="00B0626F" w:rsidP="00B0626F">
      <w:pPr>
        <w:widowControl/>
        <w:ind w:firstLineChars="200" w:firstLine="600"/>
        <w:rPr>
          <w:rFonts w:ascii="宋体" w:hAnsi="宋体" w:cs="宋体" w:hint="eastAsia"/>
          <w:sz w:val="30"/>
          <w:szCs w:val="30"/>
        </w:rPr>
      </w:pPr>
      <w:r>
        <w:rPr>
          <w:rFonts w:ascii="宋体" w:hAnsi="宋体" w:cs="宋体" w:hint="eastAsia"/>
          <w:sz w:val="30"/>
          <w:szCs w:val="30"/>
        </w:rPr>
        <w:t>农业技术推广中心为事业编制，没有行政机关人员，机关运行经费无。</w:t>
      </w:r>
    </w:p>
    <w:p w:rsidR="00B0626F" w:rsidRDefault="00B0626F" w:rsidP="00B0626F">
      <w:pPr>
        <w:widowControl/>
        <w:ind w:firstLineChars="200" w:firstLine="600"/>
        <w:rPr>
          <w:rFonts w:ascii="宋体" w:hAnsi="宋体" w:cs="宋体" w:hint="eastAsia"/>
          <w:color w:val="000000"/>
          <w:kern w:val="0"/>
          <w:sz w:val="30"/>
          <w:szCs w:val="30"/>
        </w:rPr>
      </w:pPr>
      <w:r>
        <w:rPr>
          <w:rFonts w:ascii="宋体" w:hAnsi="宋体" w:cs="宋体" w:hint="eastAsia"/>
          <w:color w:val="000000"/>
          <w:kern w:val="0"/>
          <w:sz w:val="30"/>
          <w:szCs w:val="30"/>
        </w:rPr>
        <w:lastRenderedPageBreak/>
        <w:t>二、国有资产占用情况</w:t>
      </w:r>
    </w:p>
    <w:p w:rsidR="00B0626F" w:rsidRDefault="00B0626F" w:rsidP="00B0626F">
      <w:pPr>
        <w:widowControl/>
        <w:ind w:firstLineChars="200" w:firstLine="600"/>
        <w:rPr>
          <w:rFonts w:ascii="宋体" w:hAnsi="宋体" w:cs="宋体" w:hint="eastAsia"/>
          <w:color w:val="000000"/>
          <w:kern w:val="0"/>
          <w:sz w:val="30"/>
          <w:szCs w:val="30"/>
        </w:rPr>
      </w:pPr>
      <w:r>
        <w:rPr>
          <w:rFonts w:ascii="宋体" w:hAnsi="宋体" w:cs="宋体" w:hint="eastAsia"/>
          <w:color w:val="000000"/>
          <w:kern w:val="0"/>
          <w:sz w:val="30"/>
          <w:szCs w:val="30"/>
        </w:rPr>
        <w:t>截至2018年12月31日，农业技术推广中心资产总额183.72万元，其中，流动资产117.00万元，固定资产66.72万元，对外投资及有价证券0万元，在建工程0万元，无形资产0万元，其他资产0万元（具体内容详见附表）。与上年相比，本年资产总额增加（减少）9.37万元，其中固定资产增加（减少）7.76万元。处置房屋建筑物35平方米，账面原值0.5万元；处置车辆0辆，账面原值0万元；报废报损资产3项，账面原值7.26万元，实现资产处置收入0万元；出租房屋0平方米，账面原值0万元，实现资产使用收入0万元。</w:t>
      </w:r>
    </w:p>
    <w:tbl>
      <w:tblPr>
        <w:tblpPr w:leftFromText="180" w:rightFromText="180" w:topFromText="100" w:bottomFromText="100" w:vertAnchor="text" w:horzAnchor="page" w:tblpX="534" w:tblpY="490"/>
        <w:tblOverlap w:val="never"/>
        <w:tblW w:w="0" w:type="auto"/>
        <w:tblLayout w:type="fixed"/>
        <w:tblCellMar>
          <w:left w:w="0" w:type="dxa"/>
          <w:right w:w="0" w:type="dxa"/>
        </w:tblCellMar>
        <w:tblLook w:val="0000"/>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gridCol w:w="142"/>
      </w:tblGrid>
      <w:tr w:rsidR="00B0626F" w:rsidTr="00B61DF1">
        <w:trPr>
          <w:trHeight w:val="495"/>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b/>
                <w:color w:val="000000"/>
                <w:kern w:val="0"/>
                <w:sz w:val="30"/>
                <w:szCs w:val="30"/>
                <w:lang/>
              </w:rPr>
              <w:t>国有资产占有使用情况表</w:t>
            </w:r>
          </w:p>
        </w:tc>
        <w:tc>
          <w:tcPr>
            <w:tcW w:w="142" w:type="dxa"/>
            <w:tcBorders>
              <w:top w:val="nil"/>
              <w:left w:val="nil"/>
              <w:bottom w:val="nil"/>
              <w:right w:val="nil"/>
            </w:tcBorders>
            <w:vAlign w:val="center"/>
          </w:tcPr>
          <w:p w:rsidR="00B0626F" w:rsidRDefault="00B0626F" w:rsidP="00B61DF1">
            <w:pPr>
              <w:widowControl/>
              <w:jc w:val="left"/>
              <w:rPr>
                <w:rFonts w:ascii="宋体" w:hAnsi="宋体" w:cs="宋体" w:hint="eastAsia"/>
                <w:color w:val="000000"/>
                <w:kern w:val="0"/>
                <w:sz w:val="17"/>
                <w:szCs w:val="17"/>
              </w:rPr>
            </w:pPr>
          </w:p>
        </w:tc>
      </w:tr>
      <w:tr w:rsidR="00B0626F" w:rsidTr="00B61DF1">
        <w:trPr>
          <w:trHeight w:val="347"/>
        </w:trPr>
        <w:tc>
          <w:tcPr>
            <w:tcW w:w="4680" w:type="dxa"/>
            <w:gridSpan w:val="8"/>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B0626F" w:rsidRDefault="00B0626F" w:rsidP="00B61DF1">
            <w:pPr>
              <w:widowControl/>
              <w:jc w:val="left"/>
              <w:textAlignment w:val="center"/>
              <w:rPr>
                <w:rFonts w:ascii="宋体" w:hAnsi="宋体" w:cs="宋体" w:hint="eastAsia"/>
                <w:color w:val="000000"/>
                <w:kern w:val="0"/>
                <w:sz w:val="24"/>
              </w:rPr>
            </w:pPr>
            <w:r>
              <w:rPr>
                <w:rFonts w:ascii="宋体" w:hAnsi="宋体" w:cs="宋体" w:hint="eastAsia"/>
                <w:color w:val="000000"/>
                <w:kern w:val="0"/>
                <w:sz w:val="20"/>
                <w:szCs w:val="20"/>
              </w:rPr>
              <w:t> </w:t>
            </w:r>
          </w:p>
        </w:tc>
        <w:tc>
          <w:tcPr>
            <w:tcW w:w="865"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B0626F" w:rsidRDefault="00B0626F" w:rsidP="00B61DF1">
            <w:pPr>
              <w:widowControl/>
              <w:jc w:val="left"/>
              <w:rPr>
                <w:rFonts w:ascii="宋体" w:hAnsi="宋体" w:cs="宋体" w:hint="eastAsia"/>
                <w:color w:val="000000"/>
                <w:kern w:val="0"/>
                <w:sz w:val="24"/>
              </w:rPr>
            </w:pPr>
            <w:r>
              <w:rPr>
                <w:rFonts w:ascii="宋体" w:hAnsi="宋体" w:cs="宋体" w:hint="eastAsia"/>
                <w:color w:val="000000"/>
                <w:kern w:val="0"/>
                <w:sz w:val="20"/>
                <w:szCs w:val="20"/>
              </w:rPr>
              <w:t> </w:t>
            </w:r>
          </w:p>
        </w:tc>
        <w:tc>
          <w:tcPr>
            <w:tcW w:w="974" w:type="dxa"/>
            <w:gridSpan w:val="2"/>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B0626F" w:rsidRDefault="00B0626F" w:rsidP="00B61DF1">
            <w:pPr>
              <w:widowControl/>
              <w:jc w:val="left"/>
              <w:rPr>
                <w:rFonts w:ascii="宋体" w:hAnsi="宋体" w:cs="宋体" w:hint="eastAsia"/>
                <w:color w:val="000000"/>
                <w:kern w:val="0"/>
                <w:sz w:val="24"/>
              </w:rPr>
            </w:pPr>
            <w:r>
              <w:rPr>
                <w:rFonts w:ascii="宋体" w:hAnsi="宋体" w:cs="宋体" w:hint="eastAsia"/>
                <w:color w:val="000000"/>
                <w:kern w:val="0"/>
                <w:sz w:val="20"/>
                <w:szCs w:val="20"/>
              </w:rPr>
              <w:t> </w:t>
            </w:r>
          </w:p>
        </w:tc>
        <w:tc>
          <w:tcPr>
            <w:tcW w:w="196"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B0626F" w:rsidRDefault="00B0626F" w:rsidP="00B61DF1">
            <w:pPr>
              <w:widowControl/>
              <w:jc w:val="left"/>
              <w:rPr>
                <w:rFonts w:ascii="宋体" w:hAnsi="宋体" w:cs="宋体" w:hint="eastAsia"/>
                <w:color w:val="000000"/>
                <w:kern w:val="0"/>
                <w:sz w:val="24"/>
              </w:rPr>
            </w:pPr>
            <w:r>
              <w:rPr>
                <w:rFonts w:ascii="宋体" w:hAnsi="宋体" w:cs="宋体" w:hint="eastAsia"/>
                <w:color w:val="000000"/>
                <w:kern w:val="0"/>
                <w:sz w:val="20"/>
                <w:szCs w:val="20"/>
              </w:rPr>
              <w:t> </w:t>
            </w:r>
          </w:p>
        </w:tc>
        <w:tc>
          <w:tcPr>
            <w:tcW w:w="978"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B0626F" w:rsidRDefault="00B0626F" w:rsidP="00B61DF1">
            <w:pPr>
              <w:widowControl/>
              <w:jc w:val="left"/>
              <w:rPr>
                <w:rFonts w:ascii="宋体" w:hAnsi="宋体" w:cs="宋体" w:hint="eastAsia"/>
                <w:color w:val="000000"/>
                <w:kern w:val="0"/>
                <w:sz w:val="24"/>
              </w:rPr>
            </w:pPr>
            <w:r>
              <w:rPr>
                <w:rFonts w:ascii="宋体" w:hAnsi="宋体" w:cs="宋体" w:hint="eastAsia"/>
                <w:color w:val="000000"/>
                <w:kern w:val="0"/>
                <w:sz w:val="20"/>
                <w:szCs w:val="20"/>
              </w:rPr>
              <w:t> </w:t>
            </w:r>
          </w:p>
        </w:tc>
        <w:tc>
          <w:tcPr>
            <w:tcW w:w="979"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B0626F" w:rsidRDefault="00B0626F" w:rsidP="00B61DF1">
            <w:pPr>
              <w:widowControl/>
              <w:jc w:val="left"/>
              <w:rPr>
                <w:rFonts w:ascii="宋体" w:hAnsi="宋体" w:cs="宋体" w:hint="eastAsia"/>
                <w:color w:val="000000"/>
                <w:kern w:val="0"/>
                <w:sz w:val="24"/>
              </w:rPr>
            </w:pPr>
            <w:r>
              <w:rPr>
                <w:rFonts w:ascii="宋体" w:hAnsi="宋体" w:cs="宋体" w:hint="eastAsia"/>
                <w:color w:val="000000"/>
                <w:kern w:val="0"/>
                <w:sz w:val="20"/>
                <w:szCs w:val="20"/>
              </w:rPr>
              <w:t> </w:t>
            </w:r>
          </w:p>
        </w:tc>
        <w:tc>
          <w:tcPr>
            <w:tcW w:w="1956" w:type="dxa"/>
            <w:gridSpan w:val="5"/>
            <w:tcBorders>
              <w:top w:val="nil"/>
              <w:left w:val="nil"/>
              <w:bottom w:val="single" w:sz="4" w:space="0" w:color="808080"/>
              <w:right w:val="nil"/>
            </w:tcBorders>
            <w:shd w:val="clear" w:color="auto" w:fill="FFFFFF"/>
            <w:tcMar>
              <w:top w:w="15" w:type="dxa"/>
              <w:left w:w="15" w:type="dxa"/>
              <w:bottom w:w="15" w:type="dxa"/>
              <w:right w:w="15" w:type="dxa"/>
            </w:tcMar>
            <w:vAlign w:val="center"/>
          </w:tcPr>
          <w:p w:rsidR="00B0626F" w:rsidRDefault="00B0626F" w:rsidP="00B61DF1">
            <w:pPr>
              <w:widowControl/>
              <w:jc w:val="right"/>
              <w:textAlignment w:val="center"/>
              <w:rPr>
                <w:rFonts w:ascii="宋体" w:hAnsi="宋体" w:cs="宋体" w:hint="eastAsia"/>
                <w:color w:val="000000"/>
                <w:kern w:val="0"/>
                <w:sz w:val="24"/>
              </w:rPr>
            </w:pPr>
            <w:r>
              <w:rPr>
                <w:rFonts w:ascii="宋体" w:hAnsi="宋体" w:cs="宋体" w:hint="eastAsia"/>
                <w:color w:val="000000"/>
                <w:kern w:val="0"/>
                <w:sz w:val="20"/>
                <w:szCs w:val="20"/>
                <w:lang/>
              </w:rPr>
              <w:t>单位：万元</w:t>
            </w:r>
          </w:p>
        </w:tc>
        <w:tc>
          <w:tcPr>
            <w:tcW w:w="142" w:type="dxa"/>
            <w:tcBorders>
              <w:top w:val="nil"/>
              <w:left w:val="nil"/>
              <w:bottom w:val="nil"/>
              <w:right w:val="nil"/>
            </w:tcBorders>
            <w:vAlign w:val="center"/>
          </w:tcPr>
          <w:p w:rsidR="00B0626F" w:rsidRDefault="00B0626F" w:rsidP="00B61DF1">
            <w:pPr>
              <w:widowControl/>
              <w:jc w:val="left"/>
              <w:rPr>
                <w:rFonts w:ascii="宋体" w:hAnsi="宋体" w:cs="宋体" w:hint="eastAsia"/>
                <w:color w:val="000000"/>
                <w:kern w:val="0"/>
                <w:sz w:val="17"/>
                <w:szCs w:val="17"/>
              </w:rPr>
            </w:pPr>
          </w:p>
        </w:tc>
      </w:tr>
      <w:tr w:rsidR="00B0626F" w:rsidTr="00B61DF1">
        <w:trPr>
          <w:trHeight w:val="415"/>
        </w:trPr>
        <w:tc>
          <w:tcPr>
            <w:tcW w:w="7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项目</w:t>
            </w:r>
          </w:p>
        </w:tc>
        <w:tc>
          <w:tcPr>
            <w:tcW w:w="54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行次</w:t>
            </w:r>
          </w:p>
        </w:tc>
        <w:tc>
          <w:tcPr>
            <w:tcW w:w="70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资产总额</w:t>
            </w:r>
          </w:p>
        </w:tc>
        <w:tc>
          <w:tcPr>
            <w:tcW w:w="6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流动资产</w:t>
            </w:r>
          </w:p>
        </w:tc>
        <w:tc>
          <w:tcPr>
            <w:tcW w:w="4070"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固定资产</w:t>
            </w:r>
          </w:p>
        </w:tc>
        <w:tc>
          <w:tcPr>
            <w:tcW w:w="97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对外投资/有价证券</w:t>
            </w:r>
          </w:p>
        </w:tc>
        <w:tc>
          <w:tcPr>
            <w:tcW w:w="9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在建工程</w:t>
            </w:r>
          </w:p>
        </w:tc>
        <w:tc>
          <w:tcPr>
            <w:tcW w:w="978"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无形资产</w:t>
            </w:r>
          </w:p>
        </w:tc>
        <w:tc>
          <w:tcPr>
            <w:tcW w:w="978" w:type="dxa"/>
            <w:gridSpan w:val="3"/>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其他资产</w:t>
            </w:r>
          </w:p>
        </w:tc>
        <w:tc>
          <w:tcPr>
            <w:tcW w:w="142" w:type="dxa"/>
            <w:tcBorders>
              <w:top w:val="nil"/>
              <w:left w:val="nil"/>
              <w:bottom w:val="nil"/>
              <w:right w:val="nil"/>
            </w:tcBorders>
            <w:vAlign w:val="center"/>
          </w:tcPr>
          <w:p w:rsidR="00B0626F" w:rsidRDefault="00B0626F" w:rsidP="00B61DF1">
            <w:pPr>
              <w:widowControl/>
              <w:jc w:val="left"/>
              <w:rPr>
                <w:rFonts w:ascii="宋体" w:hAnsi="宋体" w:cs="宋体" w:hint="eastAsia"/>
                <w:color w:val="000000"/>
                <w:kern w:val="0"/>
                <w:sz w:val="17"/>
                <w:szCs w:val="17"/>
              </w:rPr>
            </w:pPr>
          </w:p>
        </w:tc>
      </w:tr>
      <w:tr w:rsidR="00B0626F" w:rsidTr="00B61DF1">
        <w:trPr>
          <w:trHeight w:val="345"/>
        </w:trPr>
        <w:tc>
          <w:tcPr>
            <w:tcW w:w="715"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546"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684"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47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小计</w:t>
            </w:r>
          </w:p>
        </w:tc>
        <w:tc>
          <w:tcPr>
            <w:tcW w:w="7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房屋构筑物</w:t>
            </w:r>
          </w:p>
        </w:tc>
        <w:tc>
          <w:tcPr>
            <w:tcW w:w="7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车辆</w:t>
            </w:r>
          </w:p>
        </w:tc>
        <w:tc>
          <w:tcPr>
            <w:tcW w:w="1263"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单价200万以上大型设备</w:t>
            </w:r>
          </w:p>
        </w:tc>
        <w:tc>
          <w:tcPr>
            <w:tcW w:w="83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其他固定资产</w:t>
            </w:r>
          </w:p>
        </w:tc>
        <w:tc>
          <w:tcPr>
            <w:tcW w:w="978"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978" w:type="dxa"/>
            <w:gridSpan w:val="2"/>
            <w:vMerge/>
            <w:tcBorders>
              <w:top w:val="nil"/>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978" w:type="dxa"/>
            <w:gridSpan w:val="3"/>
            <w:vMerge/>
            <w:tcBorders>
              <w:top w:val="nil"/>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142" w:type="dxa"/>
            <w:tcBorders>
              <w:top w:val="nil"/>
              <w:left w:val="nil"/>
              <w:bottom w:val="nil"/>
              <w:right w:val="nil"/>
            </w:tcBorders>
            <w:vAlign w:val="center"/>
          </w:tcPr>
          <w:p w:rsidR="00B0626F" w:rsidRDefault="00B0626F" w:rsidP="00B61DF1">
            <w:pPr>
              <w:widowControl/>
              <w:jc w:val="left"/>
              <w:rPr>
                <w:rFonts w:ascii="宋体" w:hAnsi="宋体" w:cs="宋体" w:hint="eastAsia"/>
                <w:color w:val="000000"/>
                <w:kern w:val="0"/>
                <w:sz w:val="17"/>
                <w:szCs w:val="17"/>
              </w:rPr>
            </w:pPr>
          </w:p>
        </w:tc>
      </w:tr>
      <w:tr w:rsidR="00B0626F" w:rsidTr="00B61DF1">
        <w:trPr>
          <w:trHeight w:val="395"/>
        </w:trPr>
        <w:tc>
          <w:tcPr>
            <w:tcW w:w="715"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546"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700"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684"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474"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725"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769"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1263" w:type="dxa"/>
            <w:gridSpan w:val="3"/>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839" w:type="dxa"/>
            <w:gridSpan w:val="2"/>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978"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979" w:type="dxa"/>
            <w:vMerge/>
            <w:tcBorders>
              <w:top w:val="single" w:sz="4" w:space="0" w:color="000000"/>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978" w:type="dxa"/>
            <w:gridSpan w:val="2"/>
            <w:vMerge/>
            <w:tcBorders>
              <w:top w:val="nil"/>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978" w:type="dxa"/>
            <w:gridSpan w:val="3"/>
            <w:vMerge/>
            <w:tcBorders>
              <w:top w:val="nil"/>
              <w:left w:val="single" w:sz="4" w:space="0" w:color="000000"/>
              <w:bottom w:val="single" w:sz="4" w:space="0" w:color="000000"/>
              <w:right w:val="single" w:sz="4" w:space="0" w:color="000000"/>
            </w:tcBorders>
            <w:vAlign w:val="center"/>
          </w:tcPr>
          <w:p w:rsidR="00B0626F" w:rsidRDefault="00B0626F" w:rsidP="00B61DF1">
            <w:pPr>
              <w:widowControl/>
              <w:jc w:val="left"/>
              <w:rPr>
                <w:rFonts w:ascii="宋体" w:hAnsi="宋体" w:cs="宋体" w:hint="eastAsia"/>
                <w:color w:val="000000"/>
                <w:kern w:val="0"/>
                <w:sz w:val="24"/>
              </w:rPr>
            </w:pPr>
          </w:p>
        </w:tc>
        <w:tc>
          <w:tcPr>
            <w:tcW w:w="142" w:type="dxa"/>
            <w:tcBorders>
              <w:top w:val="nil"/>
              <w:left w:val="nil"/>
              <w:bottom w:val="nil"/>
              <w:right w:val="nil"/>
            </w:tcBorders>
            <w:vAlign w:val="center"/>
          </w:tcPr>
          <w:p w:rsidR="00B0626F" w:rsidRDefault="00B0626F" w:rsidP="00B61DF1">
            <w:pPr>
              <w:widowControl/>
              <w:jc w:val="left"/>
              <w:rPr>
                <w:rFonts w:ascii="宋体" w:hAnsi="宋体" w:cs="宋体" w:hint="eastAsia"/>
                <w:color w:val="000000"/>
                <w:kern w:val="0"/>
                <w:sz w:val="17"/>
                <w:szCs w:val="17"/>
              </w:rPr>
            </w:pPr>
          </w:p>
        </w:tc>
      </w:tr>
      <w:tr w:rsidR="00B0626F" w:rsidTr="00B61DF1">
        <w:trPr>
          <w:trHeight w:val="358"/>
        </w:trPr>
        <w:tc>
          <w:tcPr>
            <w:tcW w:w="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栏次</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left"/>
              <w:rPr>
                <w:rFonts w:ascii="宋体" w:hAnsi="宋体" w:cs="宋体" w:hint="eastAsia"/>
                <w:color w:val="000000"/>
                <w:kern w:val="0"/>
                <w:sz w:val="24"/>
              </w:rPr>
            </w:pPr>
            <w:r>
              <w:rPr>
                <w:rFonts w:ascii="宋体" w:hAnsi="宋体" w:cs="宋体" w:hint="eastAsia"/>
                <w:color w:val="000000"/>
                <w:kern w:val="0"/>
                <w:sz w:val="20"/>
                <w:szCs w:val="20"/>
              </w:rPr>
              <w:t> </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1</w:t>
            </w:r>
          </w:p>
        </w:tc>
        <w:tc>
          <w:tcPr>
            <w:tcW w:w="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2</w:t>
            </w:r>
          </w:p>
        </w:tc>
        <w:tc>
          <w:tcPr>
            <w:tcW w:w="4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3</w:t>
            </w: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4</w:t>
            </w:r>
          </w:p>
        </w:tc>
        <w:tc>
          <w:tcPr>
            <w:tcW w:w="7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5</w:t>
            </w:r>
          </w:p>
        </w:tc>
        <w:tc>
          <w:tcPr>
            <w:tcW w:w="126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6</w:t>
            </w:r>
          </w:p>
        </w:tc>
        <w:tc>
          <w:tcPr>
            <w:tcW w:w="8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7</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8</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9</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10</w:t>
            </w:r>
          </w:p>
        </w:tc>
        <w:tc>
          <w:tcPr>
            <w:tcW w:w="9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11</w:t>
            </w:r>
          </w:p>
        </w:tc>
        <w:tc>
          <w:tcPr>
            <w:tcW w:w="142" w:type="dxa"/>
            <w:tcBorders>
              <w:top w:val="nil"/>
              <w:left w:val="nil"/>
              <w:bottom w:val="nil"/>
              <w:right w:val="nil"/>
            </w:tcBorders>
            <w:vAlign w:val="center"/>
          </w:tcPr>
          <w:p w:rsidR="00B0626F" w:rsidRDefault="00B0626F" w:rsidP="00B61DF1">
            <w:pPr>
              <w:widowControl/>
              <w:jc w:val="left"/>
              <w:rPr>
                <w:rFonts w:ascii="宋体" w:hAnsi="宋体" w:cs="宋体" w:hint="eastAsia"/>
                <w:color w:val="000000"/>
                <w:kern w:val="0"/>
                <w:sz w:val="17"/>
                <w:szCs w:val="17"/>
              </w:rPr>
            </w:pPr>
          </w:p>
        </w:tc>
      </w:tr>
      <w:tr w:rsidR="00B0626F" w:rsidTr="00B61DF1">
        <w:trPr>
          <w:trHeight w:val="563"/>
        </w:trPr>
        <w:tc>
          <w:tcPr>
            <w:tcW w:w="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合计</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center"/>
              <w:textAlignment w:val="center"/>
              <w:rPr>
                <w:rFonts w:ascii="宋体" w:hAnsi="宋体" w:cs="宋体" w:hint="eastAsia"/>
                <w:color w:val="000000"/>
                <w:kern w:val="0"/>
                <w:sz w:val="24"/>
              </w:rPr>
            </w:pPr>
            <w:r>
              <w:rPr>
                <w:rFonts w:ascii="宋体" w:hAnsi="宋体" w:cs="宋体" w:hint="eastAsia"/>
                <w:color w:val="000000"/>
                <w:kern w:val="0"/>
                <w:sz w:val="20"/>
                <w:szCs w:val="20"/>
                <w:lang/>
              </w:rPr>
              <w:t>1</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right"/>
              <w:rPr>
                <w:rFonts w:ascii="宋体" w:hAnsi="宋体" w:cs="宋体" w:hint="eastAsia"/>
                <w:color w:val="000000"/>
                <w:kern w:val="0"/>
                <w:sz w:val="24"/>
              </w:rPr>
            </w:pPr>
            <w:r>
              <w:rPr>
                <w:rFonts w:ascii="宋体" w:hAnsi="宋体" w:cs="宋体" w:hint="eastAsia"/>
                <w:color w:val="000000"/>
                <w:kern w:val="0"/>
                <w:sz w:val="20"/>
                <w:szCs w:val="20"/>
              </w:rPr>
              <w:t>183.72 </w:t>
            </w:r>
          </w:p>
        </w:tc>
        <w:tc>
          <w:tcPr>
            <w:tcW w:w="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right"/>
              <w:rPr>
                <w:rFonts w:ascii="宋体" w:hAnsi="宋体" w:cs="宋体" w:hint="eastAsia"/>
                <w:color w:val="000000"/>
                <w:kern w:val="0"/>
                <w:sz w:val="24"/>
              </w:rPr>
            </w:pPr>
            <w:r>
              <w:rPr>
                <w:rFonts w:ascii="宋体" w:hAnsi="宋体" w:cs="宋体" w:hint="eastAsia"/>
                <w:color w:val="000000"/>
                <w:kern w:val="0"/>
                <w:sz w:val="20"/>
                <w:szCs w:val="20"/>
              </w:rPr>
              <w:t>117 </w:t>
            </w:r>
          </w:p>
        </w:tc>
        <w:tc>
          <w:tcPr>
            <w:tcW w:w="4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right"/>
              <w:rPr>
                <w:rFonts w:ascii="宋体" w:hAnsi="宋体" w:cs="宋体" w:hint="eastAsia"/>
                <w:color w:val="000000"/>
                <w:kern w:val="0"/>
                <w:sz w:val="24"/>
              </w:rPr>
            </w:pPr>
            <w:r>
              <w:rPr>
                <w:rFonts w:ascii="宋体" w:hAnsi="宋体" w:cs="宋体" w:hint="eastAsia"/>
                <w:color w:val="000000"/>
                <w:kern w:val="0"/>
                <w:sz w:val="20"/>
                <w:szCs w:val="20"/>
              </w:rPr>
              <w:t>66.72 </w:t>
            </w: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right"/>
              <w:rPr>
                <w:rFonts w:ascii="宋体" w:hAnsi="宋体" w:cs="宋体" w:hint="eastAsia"/>
                <w:color w:val="000000"/>
                <w:kern w:val="0"/>
                <w:sz w:val="24"/>
              </w:rPr>
            </w:pPr>
            <w:r>
              <w:rPr>
                <w:rFonts w:ascii="宋体" w:hAnsi="宋体" w:cs="宋体" w:hint="eastAsia"/>
                <w:color w:val="000000"/>
                <w:kern w:val="0"/>
                <w:sz w:val="20"/>
                <w:szCs w:val="20"/>
              </w:rPr>
              <w:t>24.83 </w:t>
            </w:r>
          </w:p>
        </w:tc>
        <w:tc>
          <w:tcPr>
            <w:tcW w:w="7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right"/>
              <w:rPr>
                <w:rFonts w:ascii="宋体" w:hAnsi="宋体" w:cs="宋体" w:hint="eastAsia"/>
                <w:color w:val="000000"/>
                <w:kern w:val="0"/>
                <w:sz w:val="24"/>
              </w:rPr>
            </w:pPr>
            <w:r>
              <w:rPr>
                <w:rFonts w:ascii="宋体" w:hAnsi="宋体" w:cs="宋体" w:hint="eastAsia"/>
                <w:color w:val="000000"/>
                <w:kern w:val="0"/>
                <w:sz w:val="20"/>
                <w:szCs w:val="20"/>
              </w:rPr>
              <w:t>19.6 </w:t>
            </w:r>
          </w:p>
        </w:tc>
        <w:tc>
          <w:tcPr>
            <w:tcW w:w="126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right"/>
              <w:rPr>
                <w:rFonts w:ascii="宋体" w:hAnsi="宋体" w:cs="宋体" w:hint="eastAsia"/>
                <w:color w:val="000000"/>
                <w:kern w:val="0"/>
                <w:sz w:val="24"/>
              </w:rPr>
            </w:pPr>
            <w:r>
              <w:rPr>
                <w:rFonts w:ascii="宋体" w:hAnsi="宋体" w:cs="宋体" w:hint="eastAsia"/>
                <w:color w:val="000000"/>
                <w:kern w:val="0"/>
                <w:sz w:val="20"/>
                <w:szCs w:val="20"/>
              </w:rPr>
              <w:t>0 </w:t>
            </w:r>
          </w:p>
        </w:tc>
        <w:tc>
          <w:tcPr>
            <w:tcW w:w="8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right"/>
              <w:rPr>
                <w:rFonts w:ascii="宋体" w:hAnsi="宋体" w:cs="宋体" w:hint="eastAsia"/>
                <w:color w:val="000000"/>
                <w:kern w:val="0"/>
                <w:sz w:val="24"/>
              </w:rPr>
            </w:pPr>
            <w:r>
              <w:rPr>
                <w:rFonts w:ascii="宋体" w:hAnsi="宋体" w:cs="宋体" w:hint="eastAsia"/>
                <w:color w:val="000000"/>
                <w:kern w:val="0"/>
                <w:sz w:val="20"/>
                <w:szCs w:val="20"/>
              </w:rPr>
              <w:t>22.29 </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right"/>
              <w:rPr>
                <w:rFonts w:ascii="宋体" w:hAnsi="宋体" w:cs="宋体" w:hint="eastAsia"/>
                <w:color w:val="000000"/>
                <w:kern w:val="0"/>
                <w:sz w:val="24"/>
              </w:rPr>
            </w:pPr>
            <w:r>
              <w:rPr>
                <w:rFonts w:ascii="宋体" w:hAnsi="宋体" w:cs="宋体" w:hint="eastAsia"/>
                <w:color w:val="000000"/>
                <w:kern w:val="0"/>
                <w:sz w:val="20"/>
                <w:szCs w:val="20"/>
              </w:rPr>
              <w:t>0 </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right"/>
              <w:rPr>
                <w:rFonts w:ascii="宋体" w:hAnsi="宋体" w:cs="宋体" w:hint="eastAsia"/>
                <w:color w:val="000000"/>
                <w:kern w:val="0"/>
                <w:sz w:val="24"/>
              </w:rPr>
            </w:pPr>
            <w:r>
              <w:rPr>
                <w:rFonts w:ascii="宋体" w:hAnsi="宋体" w:cs="宋体" w:hint="eastAsia"/>
                <w:color w:val="000000"/>
                <w:kern w:val="0"/>
                <w:sz w:val="20"/>
                <w:szCs w:val="20"/>
              </w:rPr>
              <w:t>0 </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right"/>
              <w:rPr>
                <w:rFonts w:ascii="宋体" w:hAnsi="宋体" w:cs="宋体" w:hint="eastAsia"/>
                <w:color w:val="000000"/>
                <w:kern w:val="0"/>
                <w:sz w:val="24"/>
              </w:rPr>
            </w:pPr>
            <w:r>
              <w:rPr>
                <w:rFonts w:ascii="宋体" w:hAnsi="宋体" w:cs="宋体" w:hint="eastAsia"/>
                <w:color w:val="000000"/>
                <w:kern w:val="0"/>
                <w:sz w:val="20"/>
                <w:szCs w:val="20"/>
              </w:rPr>
              <w:t>0 </w:t>
            </w:r>
          </w:p>
        </w:tc>
        <w:tc>
          <w:tcPr>
            <w:tcW w:w="9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626F" w:rsidRDefault="00B0626F" w:rsidP="00B61DF1">
            <w:pPr>
              <w:widowControl/>
              <w:jc w:val="right"/>
              <w:rPr>
                <w:rFonts w:ascii="宋体" w:hAnsi="宋体" w:cs="宋体" w:hint="eastAsia"/>
                <w:color w:val="000000"/>
                <w:kern w:val="0"/>
                <w:sz w:val="24"/>
              </w:rPr>
            </w:pPr>
            <w:r>
              <w:rPr>
                <w:rFonts w:ascii="宋体" w:hAnsi="宋体" w:cs="宋体" w:hint="eastAsia"/>
                <w:color w:val="000000"/>
                <w:kern w:val="0"/>
                <w:sz w:val="20"/>
                <w:szCs w:val="20"/>
              </w:rPr>
              <w:t>0 </w:t>
            </w:r>
          </w:p>
        </w:tc>
        <w:tc>
          <w:tcPr>
            <w:tcW w:w="142" w:type="dxa"/>
            <w:tcBorders>
              <w:top w:val="nil"/>
              <w:left w:val="nil"/>
              <w:bottom w:val="nil"/>
              <w:right w:val="nil"/>
            </w:tcBorders>
            <w:vAlign w:val="center"/>
          </w:tcPr>
          <w:p w:rsidR="00B0626F" w:rsidRDefault="00B0626F" w:rsidP="00B61DF1">
            <w:pPr>
              <w:widowControl/>
              <w:jc w:val="left"/>
              <w:rPr>
                <w:rFonts w:ascii="宋体" w:hAnsi="宋体" w:cs="宋体" w:hint="eastAsia"/>
                <w:color w:val="000000"/>
                <w:kern w:val="0"/>
                <w:sz w:val="17"/>
                <w:szCs w:val="17"/>
              </w:rPr>
            </w:pPr>
          </w:p>
        </w:tc>
      </w:tr>
      <w:tr w:rsidR="00B0626F" w:rsidTr="00B61DF1">
        <w:trPr>
          <w:gridAfter w:val="2"/>
          <w:wAfter w:w="618" w:type="dxa"/>
          <w:trHeight w:val="259"/>
        </w:trPr>
        <w:tc>
          <w:tcPr>
            <w:tcW w:w="8672" w:type="dxa"/>
            <w:gridSpan w:val="14"/>
            <w:tcBorders>
              <w:top w:val="nil"/>
              <w:left w:val="nil"/>
              <w:bottom w:val="nil"/>
              <w:right w:val="nil"/>
            </w:tcBorders>
            <w:tcMar>
              <w:top w:w="15" w:type="dxa"/>
              <w:left w:w="15" w:type="dxa"/>
              <w:bottom w:w="15" w:type="dxa"/>
              <w:right w:w="15" w:type="dxa"/>
            </w:tcMar>
            <w:vAlign w:val="bottom"/>
          </w:tcPr>
          <w:p w:rsidR="00B0626F" w:rsidRDefault="00B0626F" w:rsidP="00B61DF1">
            <w:pPr>
              <w:widowControl/>
              <w:rPr>
                <w:rFonts w:ascii="宋体" w:hAnsi="宋体" w:cs="宋体" w:hint="eastAsia"/>
                <w:color w:val="000000"/>
                <w:kern w:val="0"/>
                <w:sz w:val="24"/>
              </w:rPr>
            </w:pPr>
          </w:p>
        </w:tc>
        <w:tc>
          <w:tcPr>
            <w:tcW w:w="360" w:type="dxa"/>
            <w:tcBorders>
              <w:top w:val="nil"/>
              <w:left w:val="nil"/>
              <w:bottom w:val="nil"/>
              <w:right w:val="nil"/>
            </w:tcBorders>
            <w:tcMar>
              <w:top w:w="15" w:type="dxa"/>
              <w:left w:w="15" w:type="dxa"/>
              <w:bottom w:w="15" w:type="dxa"/>
              <w:right w:w="15" w:type="dxa"/>
            </w:tcMar>
            <w:vAlign w:val="bottom"/>
          </w:tcPr>
          <w:p w:rsidR="00B0626F" w:rsidRDefault="00B0626F" w:rsidP="00B61DF1">
            <w:pPr>
              <w:widowControl/>
              <w:rPr>
                <w:rFonts w:ascii="宋体" w:hAnsi="宋体" w:cs="宋体" w:hint="eastAsia"/>
                <w:color w:val="000000"/>
                <w:kern w:val="0"/>
                <w:sz w:val="20"/>
                <w:lang/>
              </w:rPr>
            </w:pPr>
          </w:p>
        </w:tc>
        <w:tc>
          <w:tcPr>
            <w:tcW w:w="978" w:type="dxa"/>
            <w:gridSpan w:val="2"/>
            <w:tcBorders>
              <w:top w:val="nil"/>
              <w:left w:val="nil"/>
              <w:bottom w:val="nil"/>
              <w:right w:val="nil"/>
            </w:tcBorders>
            <w:tcMar>
              <w:top w:w="15" w:type="dxa"/>
              <w:left w:w="15" w:type="dxa"/>
              <w:bottom w:w="15" w:type="dxa"/>
              <w:right w:w="15" w:type="dxa"/>
            </w:tcMar>
            <w:vAlign w:val="bottom"/>
          </w:tcPr>
          <w:p w:rsidR="00B0626F" w:rsidRDefault="00B0626F" w:rsidP="00B61DF1">
            <w:pPr>
              <w:widowControl/>
              <w:jc w:val="left"/>
              <w:rPr>
                <w:rFonts w:ascii="宋体" w:hAnsi="宋体" w:cs="宋体" w:hint="eastAsia"/>
                <w:color w:val="000000"/>
                <w:kern w:val="0"/>
                <w:sz w:val="24"/>
              </w:rPr>
            </w:pPr>
          </w:p>
        </w:tc>
        <w:tc>
          <w:tcPr>
            <w:tcW w:w="142" w:type="dxa"/>
            <w:tcBorders>
              <w:top w:val="nil"/>
              <w:left w:val="nil"/>
              <w:bottom w:val="nil"/>
              <w:right w:val="nil"/>
            </w:tcBorders>
            <w:vAlign w:val="center"/>
          </w:tcPr>
          <w:p w:rsidR="00B0626F" w:rsidRDefault="00B0626F" w:rsidP="00B61DF1">
            <w:pPr>
              <w:widowControl/>
              <w:jc w:val="left"/>
              <w:rPr>
                <w:rFonts w:ascii="宋体" w:hAnsi="宋体" w:cs="宋体" w:hint="eastAsia"/>
                <w:color w:val="000000"/>
                <w:kern w:val="0"/>
                <w:sz w:val="17"/>
                <w:szCs w:val="17"/>
              </w:rPr>
            </w:pPr>
          </w:p>
        </w:tc>
      </w:tr>
      <w:tr w:rsidR="00B0626F" w:rsidTr="00B61DF1">
        <w:trPr>
          <w:trHeight w:val="495"/>
        </w:trPr>
        <w:tc>
          <w:tcPr>
            <w:tcW w:w="9650" w:type="dxa"/>
            <w:gridSpan w:val="16"/>
            <w:tcBorders>
              <w:top w:val="nil"/>
              <w:left w:val="nil"/>
              <w:bottom w:val="nil"/>
              <w:right w:val="nil"/>
            </w:tcBorders>
            <w:tcMar>
              <w:top w:w="15" w:type="dxa"/>
              <w:left w:w="15" w:type="dxa"/>
              <w:bottom w:w="15" w:type="dxa"/>
              <w:right w:w="15" w:type="dxa"/>
            </w:tcMar>
            <w:vAlign w:val="bottom"/>
          </w:tcPr>
          <w:p w:rsidR="00B0626F" w:rsidRDefault="00B0626F" w:rsidP="00B61DF1">
            <w:pPr>
              <w:widowControl/>
              <w:rPr>
                <w:rFonts w:ascii="宋体" w:hAnsi="宋体" w:cs="宋体" w:hint="eastAsia"/>
                <w:color w:val="000000"/>
                <w:kern w:val="0"/>
                <w:sz w:val="20"/>
                <w:szCs w:val="20"/>
              </w:rPr>
            </w:pPr>
            <w:r>
              <w:rPr>
                <w:rFonts w:ascii="宋体" w:hAnsi="宋体" w:cs="宋体" w:hint="eastAsia"/>
                <w:color w:val="000000"/>
                <w:kern w:val="0"/>
                <w:sz w:val="20"/>
                <w:szCs w:val="20"/>
              </w:rPr>
              <w:t>填报说明：1.资产总额＝流动资产＋固定资产＋对外投资／有价证券＋在建工程＋无形资产＋其他资产</w:t>
            </w:r>
          </w:p>
          <w:p w:rsidR="00B0626F" w:rsidRDefault="00B0626F" w:rsidP="00B61DF1">
            <w:pPr>
              <w:widowControl/>
              <w:rPr>
                <w:rFonts w:ascii="宋体" w:hAnsi="宋体" w:cs="宋体" w:hint="eastAsia"/>
                <w:color w:val="000000"/>
                <w:kern w:val="0"/>
                <w:sz w:val="20"/>
                <w:szCs w:val="20"/>
              </w:rPr>
            </w:pPr>
            <w:r>
              <w:rPr>
                <w:rFonts w:ascii="宋体" w:hAnsi="宋体" w:cs="宋体" w:hint="eastAsia"/>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rsidR="00B0626F" w:rsidRDefault="00B0626F" w:rsidP="00B61DF1">
            <w:pPr>
              <w:widowControl/>
              <w:jc w:val="left"/>
              <w:rPr>
                <w:rFonts w:ascii="宋体" w:hAnsi="宋体" w:cs="宋体" w:hint="eastAsia"/>
                <w:color w:val="000000"/>
                <w:kern w:val="0"/>
                <w:sz w:val="24"/>
              </w:rPr>
            </w:pPr>
            <w:r>
              <w:rPr>
                <w:rFonts w:ascii="宋体" w:hAnsi="宋体" w:cs="宋体" w:hint="eastAsia"/>
                <w:color w:val="000000"/>
                <w:kern w:val="0"/>
                <w:sz w:val="20"/>
                <w:szCs w:val="20"/>
              </w:rPr>
              <w:t> </w:t>
            </w:r>
          </w:p>
        </w:tc>
        <w:tc>
          <w:tcPr>
            <w:tcW w:w="142" w:type="dxa"/>
            <w:vAlign w:val="center"/>
          </w:tcPr>
          <w:p w:rsidR="00B0626F" w:rsidRDefault="00B0626F" w:rsidP="00B61DF1">
            <w:pPr>
              <w:widowControl/>
              <w:jc w:val="left"/>
              <w:rPr>
                <w:rFonts w:ascii="宋体" w:hAnsi="宋体" w:cs="宋体" w:hint="eastAsia"/>
                <w:kern w:val="0"/>
                <w:sz w:val="20"/>
                <w:szCs w:val="20"/>
              </w:rPr>
            </w:pPr>
          </w:p>
        </w:tc>
      </w:tr>
    </w:tbl>
    <w:p w:rsidR="00B0626F" w:rsidRDefault="00B0626F" w:rsidP="00B0626F">
      <w:pPr>
        <w:ind w:firstLineChars="200" w:firstLine="600"/>
        <w:jc w:val="left"/>
        <w:rPr>
          <w:rFonts w:ascii="宋体" w:hAnsi="宋体" w:cs="宋体" w:hint="eastAsia"/>
          <w:sz w:val="30"/>
          <w:szCs w:val="30"/>
        </w:rPr>
      </w:pPr>
      <w:r>
        <w:rPr>
          <w:rFonts w:ascii="宋体" w:hAnsi="宋体" w:cs="宋体" w:hint="eastAsia"/>
          <w:sz w:val="30"/>
          <w:szCs w:val="30"/>
        </w:rPr>
        <w:t>三、政府采购支出情况</w:t>
      </w:r>
    </w:p>
    <w:p w:rsidR="00B0626F" w:rsidRDefault="00B0626F" w:rsidP="00B0626F">
      <w:pPr>
        <w:ind w:firstLineChars="200" w:firstLine="600"/>
        <w:rPr>
          <w:rFonts w:ascii="宋体" w:hAnsi="宋体" w:cs="宋体" w:hint="eastAsia"/>
          <w:sz w:val="30"/>
          <w:szCs w:val="30"/>
        </w:rPr>
      </w:pPr>
      <w:r>
        <w:rPr>
          <w:rFonts w:ascii="宋体" w:hAnsi="宋体" w:cs="宋体" w:hint="eastAsia"/>
          <w:sz w:val="30"/>
          <w:szCs w:val="30"/>
        </w:rPr>
        <w:t>2018年度，部门政府采购支出总额0万元。</w:t>
      </w:r>
    </w:p>
    <w:p w:rsidR="00B0626F" w:rsidRDefault="00B0626F" w:rsidP="00B0626F">
      <w:pPr>
        <w:ind w:firstLineChars="200" w:firstLine="600"/>
        <w:jc w:val="left"/>
        <w:rPr>
          <w:rFonts w:ascii="宋体" w:hAnsi="宋体" w:cs="宋体" w:hint="eastAsia"/>
          <w:sz w:val="30"/>
          <w:szCs w:val="30"/>
        </w:rPr>
      </w:pPr>
      <w:r>
        <w:rPr>
          <w:rFonts w:ascii="宋体" w:hAnsi="宋体" w:cs="宋体" w:hint="eastAsia"/>
          <w:sz w:val="30"/>
          <w:szCs w:val="30"/>
        </w:rPr>
        <w:t>四、部门绩效自评情况</w:t>
      </w:r>
    </w:p>
    <w:p w:rsidR="00B0626F" w:rsidRDefault="00B0626F" w:rsidP="00B0626F">
      <w:pPr>
        <w:widowControl/>
        <w:snapToGrid w:val="0"/>
        <w:spacing w:before="100" w:after="100" w:line="360" w:lineRule="auto"/>
        <w:ind w:firstLine="600"/>
        <w:jc w:val="left"/>
        <w:rPr>
          <w:rFonts w:ascii="宋体" w:hAnsi="宋体" w:cs="宋体" w:hint="eastAsia"/>
          <w:sz w:val="30"/>
          <w:szCs w:val="30"/>
        </w:rPr>
      </w:pPr>
      <w:r>
        <w:rPr>
          <w:rFonts w:ascii="宋体" w:hAnsi="宋体" w:cs="宋体" w:hint="eastAsia"/>
          <w:sz w:val="30"/>
          <w:szCs w:val="30"/>
        </w:rPr>
        <w:lastRenderedPageBreak/>
        <w:t>部门绩效自评情况详见附表（附表10—附表14）。</w:t>
      </w:r>
    </w:p>
    <w:p w:rsidR="00B0626F" w:rsidRDefault="00B0626F" w:rsidP="00B0626F">
      <w:pPr>
        <w:widowControl/>
        <w:snapToGrid w:val="0"/>
        <w:spacing w:before="100" w:after="100" w:line="360" w:lineRule="auto"/>
        <w:ind w:firstLineChars="200" w:firstLine="600"/>
        <w:jc w:val="left"/>
        <w:rPr>
          <w:rFonts w:ascii="宋体" w:hAnsi="宋体" w:cs="宋体" w:hint="eastAsia"/>
          <w:sz w:val="30"/>
          <w:szCs w:val="30"/>
        </w:rPr>
      </w:pPr>
      <w:r>
        <w:rPr>
          <w:rFonts w:ascii="宋体" w:hAnsi="宋体" w:cs="宋体" w:hint="eastAsia"/>
          <w:sz w:val="30"/>
          <w:szCs w:val="30"/>
        </w:rPr>
        <w:t>五、其他重要事项情况说明</w:t>
      </w:r>
    </w:p>
    <w:p w:rsidR="00B0626F" w:rsidRDefault="00B0626F" w:rsidP="00B0626F">
      <w:pPr>
        <w:widowControl/>
        <w:snapToGrid w:val="0"/>
        <w:spacing w:before="100" w:after="100" w:line="360" w:lineRule="auto"/>
        <w:ind w:firstLineChars="200" w:firstLine="600"/>
        <w:jc w:val="left"/>
        <w:rPr>
          <w:rFonts w:ascii="宋体" w:hAnsi="宋体" w:cs="宋体" w:hint="eastAsia"/>
          <w:sz w:val="30"/>
          <w:szCs w:val="30"/>
        </w:rPr>
      </w:pPr>
      <w:r>
        <w:rPr>
          <w:rFonts w:ascii="宋体" w:hAnsi="宋体" w:cs="宋体" w:hint="eastAsia"/>
          <w:sz w:val="30"/>
          <w:szCs w:val="30"/>
        </w:rPr>
        <w:t>六、相关口径说明</w:t>
      </w:r>
    </w:p>
    <w:p w:rsidR="00B0626F" w:rsidRDefault="00B0626F" w:rsidP="00B0626F">
      <w:pPr>
        <w:ind w:firstLineChars="200" w:firstLine="600"/>
        <w:jc w:val="left"/>
        <w:rPr>
          <w:rFonts w:ascii="宋体" w:hAnsi="宋体" w:cs="宋体" w:hint="eastAsia"/>
          <w:sz w:val="30"/>
          <w:szCs w:val="30"/>
        </w:rPr>
      </w:pPr>
      <w:r>
        <w:rPr>
          <w:rFonts w:ascii="宋体" w:hAnsi="宋体" w:cs="宋体" w:hint="eastAsia"/>
          <w:sz w:val="30"/>
          <w:szCs w:val="30"/>
        </w:rPr>
        <w:t>（一）基本支出中人员经费包括工资福利支出和对个人和家庭的补助，日常公用支出包括商品和服务支出、资本性支出等人员经费以外的支出。</w:t>
      </w:r>
    </w:p>
    <w:p w:rsidR="00B0626F" w:rsidRDefault="00B0626F" w:rsidP="00B0626F">
      <w:pPr>
        <w:ind w:firstLineChars="200" w:firstLine="600"/>
        <w:jc w:val="left"/>
        <w:rPr>
          <w:rFonts w:ascii="宋体" w:hAnsi="宋体" w:cs="宋体" w:hint="eastAsia"/>
          <w:sz w:val="30"/>
          <w:szCs w:val="30"/>
        </w:rPr>
      </w:pPr>
      <w:r>
        <w:rPr>
          <w:rFonts w:ascii="宋体" w:hAnsi="宋体" w:cs="宋体" w:hint="eastAsia"/>
          <w:sz w:val="30"/>
          <w:szCs w:val="30"/>
        </w:rPr>
        <w:t>（二）机关运行经费指行政单位和参照公务员法管理的事业单位使用一般公共预算财政拨款安排的基本支出中的日常公用经费支出。</w:t>
      </w:r>
    </w:p>
    <w:p w:rsidR="00B0626F" w:rsidRDefault="00B0626F" w:rsidP="00B0626F">
      <w:pPr>
        <w:ind w:firstLineChars="200" w:firstLine="600"/>
        <w:jc w:val="left"/>
        <w:rPr>
          <w:rFonts w:ascii="宋体" w:hAnsi="宋体" w:cs="宋体" w:hint="eastAsia"/>
          <w:sz w:val="30"/>
          <w:szCs w:val="30"/>
        </w:rPr>
      </w:pPr>
      <w:r>
        <w:rPr>
          <w:rFonts w:ascii="宋体" w:hAnsi="宋体" w:cs="宋体" w:hint="eastAsia"/>
          <w:sz w:val="30"/>
          <w:szCs w:val="30"/>
        </w:rPr>
        <w:t>（三）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w:t>
      </w:r>
      <w:proofErr w:type="gramStart"/>
      <w:r>
        <w:rPr>
          <w:rFonts w:ascii="宋体" w:hAnsi="宋体" w:cs="宋体" w:hint="eastAsia"/>
          <w:sz w:val="30"/>
          <w:szCs w:val="30"/>
        </w:rPr>
        <w:t>含车辆</w:t>
      </w:r>
      <w:proofErr w:type="gramEnd"/>
      <w:r>
        <w:rPr>
          <w:rFonts w:ascii="宋体" w:hAnsi="宋体" w:cs="宋体" w:hint="eastAsia"/>
          <w:sz w:val="30"/>
          <w:szCs w:val="30"/>
        </w:rPr>
        <w:t>购置税、牌照费等）；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rsidR="00B0626F" w:rsidRDefault="00B0626F" w:rsidP="00B0626F">
      <w:pPr>
        <w:ind w:firstLineChars="200" w:firstLine="600"/>
        <w:jc w:val="left"/>
        <w:rPr>
          <w:rFonts w:ascii="宋体" w:hAnsi="宋体" w:cs="宋体" w:hint="eastAsia"/>
          <w:sz w:val="30"/>
          <w:szCs w:val="30"/>
        </w:rPr>
      </w:pPr>
      <w:r>
        <w:rPr>
          <w:rFonts w:ascii="宋体" w:hAnsi="宋体" w:cs="宋体" w:hint="eastAsia"/>
          <w:sz w:val="30"/>
          <w:szCs w:val="30"/>
        </w:rPr>
        <w:t>（四）“三公”经费决算数：指各部门（含下属单位）当年通过</w:t>
      </w:r>
      <w:r>
        <w:rPr>
          <w:rFonts w:ascii="宋体" w:hAnsi="宋体" w:cs="宋体" w:hint="eastAsia"/>
          <w:sz w:val="30"/>
          <w:szCs w:val="30"/>
        </w:rPr>
        <w:lastRenderedPageBreak/>
        <w:t>本级财政一般公共预算财政拨款和以前年度一般公共预算财政拨款结转结余资金安排的因公出国（境）费、公务用车购置及运行维护费和公务接待费支出数（包括基本支出和项目支出）。</w:t>
      </w:r>
    </w:p>
    <w:p w:rsidR="00B0626F" w:rsidRDefault="00B0626F" w:rsidP="00B0626F">
      <w:pPr>
        <w:ind w:firstLineChars="200" w:firstLine="640"/>
        <w:jc w:val="center"/>
        <w:rPr>
          <w:rFonts w:ascii="宋体" w:hAnsi="宋体" w:cs="宋体" w:hint="eastAsia"/>
          <w:sz w:val="30"/>
          <w:szCs w:val="30"/>
        </w:rPr>
      </w:pPr>
      <w:r>
        <w:rPr>
          <w:rFonts w:ascii="宋体" w:hAnsi="宋体" w:cs="宋体" w:hint="eastAsia"/>
          <w:sz w:val="32"/>
          <w:szCs w:val="32"/>
        </w:rPr>
        <w:t>第五部分  名词解释</w:t>
      </w:r>
    </w:p>
    <w:p w:rsidR="00B0626F" w:rsidRDefault="00B0626F" w:rsidP="00B0626F">
      <w:pPr>
        <w:pStyle w:val="a7"/>
        <w:widowControl/>
        <w:spacing w:before="0" w:beforeAutospacing="0" w:after="0" w:afterAutospacing="0" w:line="600" w:lineRule="atLeast"/>
        <w:ind w:firstLineChars="200" w:firstLine="560"/>
        <w:rPr>
          <w:rFonts w:ascii="宋体" w:hAnsi="宋体" w:cs="宋体" w:hint="eastAsia"/>
        </w:rPr>
      </w:pPr>
      <w:r>
        <w:rPr>
          <w:rFonts w:ascii="宋体" w:hAnsi="宋体" w:cs="宋体" w:hint="eastAsia"/>
          <w:color w:val="000000"/>
          <w:sz w:val="28"/>
          <w:szCs w:val="28"/>
        </w:rPr>
        <w:t xml:space="preserve">（一）财政拨款收入：指中央财政当年拨付的资金。 </w:t>
      </w:r>
    </w:p>
    <w:p w:rsidR="00B0626F" w:rsidRDefault="00B0626F" w:rsidP="00B0626F">
      <w:pPr>
        <w:pStyle w:val="a7"/>
        <w:widowControl/>
        <w:spacing w:before="0" w:beforeAutospacing="0" w:after="0" w:afterAutospacing="0" w:line="600" w:lineRule="atLeast"/>
        <w:ind w:firstLineChars="200" w:firstLine="560"/>
        <w:rPr>
          <w:rFonts w:ascii="宋体" w:hAnsi="宋体" w:cs="宋体" w:hint="eastAsia"/>
        </w:rPr>
      </w:pPr>
      <w:r>
        <w:rPr>
          <w:rFonts w:ascii="宋体" w:hAnsi="宋体" w:cs="宋体" w:hint="eastAsia"/>
          <w:color w:val="000000"/>
          <w:sz w:val="28"/>
          <w:szCs w:val="28"/>
        </w:rPr>
        <w:t xml:space="preserve">（二）事业收入：指事业单位开展专业业务活动及辅助活动所取得的收入。 </w:t>
      </w:r>
    </w:p>
    <w:p w:rsidR="00B0626F" w:rsidRDefault="00B0626F" w:rsidP="00B0626F">
      <w:pPr>
        <w:pStyle w:val="a7"/>
        <w:widowControl/>
        <w:spacing w:before="0" w:beforeAutospacing="0" w:after="0" w:afterAutospacing="0" w:line="600" w:lineRule="atLeast"/>
        <w:ind w:firstLineChars="200" w:firstLine="560"/>
        <w:rPr>
          <w:rFonts w:ascii="宋体" w:hAnsi="宋体" w:cs="宋体" w:hint="eastAsia"/>
        </w:rPr>
      </w:pPr>
      <w:r>
        <w:rPr>
          <w:rFonts w:ascii="宋体" w:hAnsi="宋体" w:cs="宋体" w:hint="eastAsia"/>
          <w:color w:val="000000"/>
          <w:sz w:val="28"/>
          <w:szCs w:val="28"/>
        </w:rPr>
        <w:t xml:space="preserve">（三）经营收入：指事业单位在专业业务活动及其辅助活动之外开展非独立核算经营活动取得的收入。 </w:t>
      </w:r>
    </w:p>
    <w:p w:rsidR="00B0626F" w:rsidRDefault="00B0626F" w:rsidP="00B0626F">
      <w:pPr>
        <w:pStyle w:val="a7"/>
        <w:widowControl/>
        <w:spacing w:before="0" w:beforeAutospacing="0" w:after="0" w:afterAutospacing="0" w:line="600" w:lineRule="atLeast"/>
        <w:ind w:firstLineChars="200" w:firstLine="560"/>
        <w:rPr>
          <w:rFonts w:ascii="宋体" w:hAnsi="宋体" w:cs="宋体" w:hint="eastAsia"/>
        </w:rPr>
      </w:pPr>
      <w:r>
        <w:rPr>
          <w:rFonts w:ascii="宋体" w:hAnsi="宋体" w:cs="宋体" w:hint="eastAsia"/>
          <w:color w:val="000000"/>
          <w:sz w:val="28"/>
          <w:szCs w:val="28"/>
        </w:rPr>
        <w:t xml:space="preserve">（四）其他收入：指除上述“财政拨款收入”、“事业收入”、“经营收入”等以外的收入。 </w:t>
      </w:r>
    </w:p>
    <w:p w:rsidR="00B0626F" w:rsidRDefault="00B0626F" w:rsidP="00B0626F">
      <w:pPr>
        <w:pStyle w:val="a7"/>
        <w:widowControl/>
        <w:spacing w:before="0" w:beforeAutospacing="0" w:after="0" w:afterAutospacing="0" w:line="600" w:lineRule="atLeast"/>
        <w:ind w:firstLineChars="200" w:firstLine="560"/>
        <w:rPr>
          <w:rFonts w:ascii="宋体" w:hAnsi="宋体" w:cs="宋体" w:hint="eastAsia"/>
        </w:rPr>
      </w:pPr>
      <w:r>
        <w:rPr>
          <w:rFonts w:ascii="宋体" w:hAnsi="宋体" w:cs="宋体" w:hint="eastAsia"/>
          <w:color w:val="000000"/>
          <w:sz w:val="28"/>
          <w:szCs w:val="28"/>
        </w:rPr>
        <w:t xml:space="preserve">（五）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 </w:t>
      </w:r>
    </w:p>
    <w:p w:rsidR="00B0626F" w:rsidRDefault="00B0626F" w:rsidP="00B0626F">
      <w:pPr>
        <w:pStyle w:val="a7"/>
        <w:widowControl/>
        <w:spacing w:before="0" w:beforeAutospacing="0" w:after="0" w:afterAutospacing="0" w:line="600" w:lineRule="atLeast"/>
        <w:ind w:firstLineChars="200" w:firstLine="560"/>
        <w:rPr>
          <w:rFonts w:ascii="宋体" w:hAnsi="宋体" w:cs="宋体" w:hint="eastAsia"/>
        </w:rPr>
      </w:pPr>
      <w:r>
        <w:rPr>
          <w:rFonts w:ascii="宋体" w:hAnsi="宋体" w:cs="宋体" w:hint="eastAsia"/>
          <w:color w:val="000000"/>
          <w:sz w:val="28"/>
          <w:szCs w:val="28"/>
        </w:rPr>
        <w:t xml:space="preserve">（六）年初结转和结余：指以前年度尚未完成、结转到本年仍按原规定用途继续使用的资金，或项目已完成等产生的结余资金。 </w:t>
      </w:r>
    </w:p>
    <w:p w:rsidR="00B0626F" w:rsidRDefault="00B0626F" w:rsidP="00B0626F">
      <w:pPr>
        <w:pStyle w:val="a7"/>
        <w:widowControl/>
        <w:spacing w:before="0" w:beforeAutospacing="0" w:after="0" w:afterAutospacing="0" w:line="600" w:lineRule="atLeast"/>
        <w:ind w:firstLineChars="200" w:firstLine="560"/>
        <w:rPr>
          <w:rFonts w:ascii="宋体" w:hAnsi="宋体" w:cs="宋体" w:hint="eastAsia"/>
        </w:rPr>
      </w:pPr>
      <w:r>
        <w:rPr>
          <w:rFonts w:ascii="宋体" w:hAnsi="宋体" w:cs="宋体" w:hint="eastAsia"/>
          <w:color w:val="000000"/>
          <w:sz w:val="28"/>
          <w:szCs w:val="28"/>
        </w:rPr>
        <w:t xml:space="preserve">（七）结余分配：指事业单位按照事业单位会计制度的规定从非财政补助结余中分配的事业基金和职工福利基金等。 </w:t>
      </w:r>
    </w:p>
    <w:p w:rsidR="00B0626F" w:rsidRDefault="00B0626F" w:rsidP="00B0626F">
      <w:pPr>
        <w:pStyle w:val="a7"/>
        <w:widowControl/>
        <w:spacing w:before="0" w:beforeAutospacing="0" w:after="0" w:afterAutospacing="0" w:line="600" w:lineRule="atLeast"/>
        <w:ind w:firstLineChars="200" w:firstLine="560"/>
        <w:rPr>
          <w:rFonts w:ascii="宋体" w:hAnsi="宋体" w:cs="宋体" w:hint="eastAsia"/>
          <w:sz w:val="30"/>
          <w:szCs w:val="30"/>
        </w:rPr>
      </w:pPr>
      <w:r>
        <w:rPr>
          <w:rFonts w:ascii="宋体" w:hAnsi="宋体" w:cs="宋体" w:hint="eastAsia"/>
          <w:color w:val="000000"/>
          <w:sz w:val="28"/>
          <w:szCs w:val="28"/>
        </w:rPr>
        <w:lastRenderedPageBreak/>
        <w:t xml:space="preserve">（八）年末结转和结余：指单位按有关规定结转到下年或以后年度继续使用的资金，或项目已完成等产生的结余资金。 </w:t>
      </w:r>
    </w:p>
    <w:p w:rsidR="007A40E2" w:rsidRPr="00B0626F" w:rsidRDefault="00B0626F"/>
    <w:sectPr w:rsidR="007A40E2" w:rsidRPr="00B0626F">
      <w:headerReference w:type="default" r:id="rId5"/>
      <w:footerReference w:type="even" r:id="rId6"/>
      <w:footerReference w:type="default" r:id="rId7"/>
      <w:pgSz w:w="11906" w:h="16838"/>
      <w:pgMar w:top="2098" w:right="1418" w:bottom="1588" w:left="164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626F">
    <w:pPr>
      <w:pStyle w:val="a5"/>
      <w:framePr w:wrap="around" w:vAnchor="text" w:hAnchor="margin" w:xAlign="center" w:y="1"/>
      <w:rPr>
        <w:rStyle w:val="a3"/>
      </w:rPr>
    </w:pPr>
    <w:r>
      <w:fldChar w:fldCharType="begin"/>
    </w:r>
    <w:r>
      <w:rPr>
        <w:rStyle w:val="a3"/>
      </w:rPr>
      <w:instrText xml:space="preserve">PAGE  </w:instrText>
    </w:r>
    <w:r>
      <w:fldChar w:fldCharType="separate"/>
    </w:r>
    <w:r>
      <w:fldChar w:fldCharType="end"/>
    </w:r>
  </w:p>
  <w:p w:rsidR="00000000" w:rsidRDefault="00B0626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626F">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12</w:t>
    </w:r>
    <w:r>
      <w:fldChar w:fldCharType="end"/>
    </w:r>
  </w:p>
  <w:p w:rsidR="00000000" w:rsidRDefault="00B0626F">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0626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F1AA4"/>
    <w:multiLevelType w:val="singleLevel"/>
    <w:tmpl w:val="254F1AA4"/>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626F"/>
    <w:rsid w:val="00354ED5"/>
    <w:rsid w:val="004651C0"/>
    <w:rsid w:val="00571280"/>
    <w:rsid w:val="00B062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2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0626F"/>
  </w:style>
  <w:style w:type="paragraph" w:styleId="a4">
    <w:name w:val="header"/>
    <w:basedOn w:val="a"/>
    <w:link w:val="Char"/>
    <w:rsid w:val="00B062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0626F"/>
    <w:rPr>
      <w:rFonts w:ascii="Times New Roman" w:eastAsia="宋体" w:hAnsi="Times New Roman" w:cs="Times New Roman"/>
      <w:sz w:val="18"/>
      <w:szCs w:val="18"/>
    </w:rPr>
  </w:style>
  <w:style w:type="paragraph" w:styleId="a5">
    <w:name w:val="footer"/>
    <w:basedOn w:val="a"/>
    <w:link w:val="Char0"/>
    <w:rsid w:val="00B0626F"/>
    <w:pPr>
      <w:tabs>
        <w:tab w:val="center" w:pos="4153"/>
        <w:tab w:val="right" w:pos="8306"/>
      </w:tabs>
      <w:snapToGrid w:val="0"/>
      <w:jc w:val="left"/>
    </w:pPr>
    <w:rPr>
      <w:sz w:val="18"/>
      <w:szCs w:val="18"/>
    </w:rPr>
  </w:style>
  <w:style w:type="character" w:customStyle="1" w:styleId="Char0">
    <w:name w:val="页脚 Char"/>
    <w:basedOn w:val="a0"/>
    <w:link w:val="a5"/>
    <w:rsid w:val="00B0626F"/>
    <w:rPr>
      <w:rFonts w:ascii="Times New Roman" w:eastAsia="宋体" w:hAnsi="Times New Roman" w:cs="Times New Roman"/>
      <w:sz w:val="18"/>
      <w:szCs w:val="18"/>
    </w:rPr>
  </w:style>
  <w:style w:type="paragraph" w:styleId="a6">
    <w:name w:val="Body Text"/>
    <w:basedOn w:val="a"/>
    <w:link w:val="Char1"/>
    <w:rsid w:val="00B0626F"/>
    <w:pPr>
      <w:spacing w:beforeLines="30"/>
    </w:pPr>
    <w:rPr>
      <w:rFonts w:ascii="仿宋_GB2312" w:eastAsia="仿宋_GB2312"/>
      <w:sz w:val="30"/>
    </w:rPr>
  </w:style>
  <w:style w:type="character" w:customStyle="1" w:styleId="Char1">
    <w:name w:val="正文文本 Char"/>
    <w:basedOn w:val="a0"/>
    <w:link w:val="a6"/>
    <w:rsid w:val="00B0626F"/>
    <w:rPr>
      <w:rFonts w:ascii="仿宋_GB2312" w:eastAsia="仿宋_GB2312" w:hAnsi="Times New Roman" w:cs="Times New Roman"/>
      <w:sz w:val="30"/>
      <w:szCs w:val="24"/>
    </w:rPr>
  </w:style>
  <w:style w:type="paragraph" w:styleId="a7">
    <w:name w:val="Normal (Web)"/>
    <w:basedOn w:val="a"/>
    <w:rsid w:val="00B0626F"/>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751</Words>
  <Characters>4283</Characters>
  <Application>Microsoft Office Word</Application>
  <DocSecurity>0</DocSecurity>
  <Lines>35</Lines>
  <Paragraphs>10</Paragraphs>
  <ScaleCrop>false</ScaleCrop>
  <Company>Microsoft</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2019-12-16T02:47:00Z</dcterms:created>
  <dcterms:modified xsi:type="dcterms:W3CDTF">2019-12-16T02:48:00Z</dcterms:modified>
</cp:coreProperties>
</file>