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Times New Roman"/>
          <w:sz w:val="36"/>
        </w:rPr>
      </w:pPr>
      <w:r>
        <w:rPr>
          <w:rFonts w:hint="eastAsia" w:ascii="方正小标宋简体" w:hAnsi="方正小标宋简体" w:eastAsia="方正小标宋简体"/>
          <w:sz w:val="36"/>
        </w:rPr>
        <w:t>德宏州梁河县茶叶技术推广站2019年度部门决算</w:t>
      </w:r>
    </w:p>
    <w:p>
      <w:pPr>
        <w:spacing w:line="600" w:lineRule="exact"/>
        <w:jc w:val="center"/>
        <w:rPr>
          <w:rFonts w:ascii="Times New Roman" w:hAnsi="Times New Roman" w:eastAsia="Times New Roman"/>
          <w:sz w:val="36"/>
        </w:rPr>
      </w:pPr>
    </w:p>
    <w:p>
      <w:pPr>
        <w:spacing w:line="600" w:lineRule="exact"/>
        <w:jc w:val="center"/>
        <w:rPr>
          <w:rFonts w:ascii="Times New Roman" w:hAnsi="Times New Roman" w:eastAsia="Times New Roman"/>
          <w:sz w:val="36"/>
        </w:rPr>
      </w:pPr>
      <w:r>
        <w:rPr>
          <w:rFonts w:hint="eastAsia" w:ascii="黑体" w:hAnsi="黑体" w:eastAsia="黑体"/>
          <w:sz w:val="36"/>
        </w:rPr>
        <w:t>目录</w:t>
      </w:r>
    </w:p>
    <w:p>
      <w:pPr>
        <w:spacing w:line="600" w:lineRule="exact"/>
        <w:jc w:val="left"/>
        <w:rPr>
          <w:rFonts w:ascii="Times New Roman" w:hAnsi="Times New Roman" w:eastAsia="Times New Roman"/>
          <w:sz w:val="30"/>
        </w:rPr>
      </w:pPr>
      <w:r>
        <w:rPr>
          <w:rFonts w:hint="eastAsia" w:ascii="黑体" w:hAnsi="黑体" w:eastAsia="黑体"/>
          <w:sz w:val="30"/>
        </w:rPr>
        <w:t xml:space="preserve">   第一部分  德宏州梁河县茶叶技术推广站概况</w:t>
      </w:r>
    </w:p>
    <w:p>
      <w:pPr>
        <w:spacing w:line="600" w:lineRule="exact"/>
        <w:jc w:val="left"/>
        <w:rPr>
          <w:rFonts w:ascii="Times New Roman" w:hAnsi="Times New Roman" w:eastAsia="Times New Roman"/>
          <w:sz w:val="30"/>
        </w:rPr>
      </w:pPr>
      <w:r>
        <w:rPr>
          <w:rFonts w:hint="eastAsia" w:ascii="楷体" w:hAnsi="楷体" w:eastAsia="楷体"/>
          <w:sz w:val="30"/>
        </w:rPr>
        <w:t xml:space="preserve">   一、主要职能</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二、部门基本情况</w:t>
      </w:r>
    </w:p>
    <w:p>
      <w:pPr>
        <w:spacing w:line="600" w:lineRule="exact"/>
        <w:jc w:val="left"/>
        <w:rPr>
          <w:rFonts w:ascii="Times New Roman" w:hAnsi="Times New Roman" w:eastAsia="Times New Roman"/>
          <w:sz w:val="30"/>
        </w:rPr>
      </w:pPr>
      <w:r>
        <w:rPr>
          <w:rFonts w:hint="eastAsia" w:ascii="黑体" w:hAnsi="黑体" w:eastAsia="黑体"/>
          <w:sz w:val="30"/>
        </w:rPr>
        <w:t xml:space="preserve">   第二部分  2019年度部门决算表</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一、收入支出决算总表</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二、收入决算表</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三、支出决算表</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四、财政拨款收入支出决算总表</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五、一般公共预算财政拨款收入支出决算表</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六、一般公共预算财政拨款基本支出决算表</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七、政府性基金预算财政拨款收入支出决算表</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八、</w:t>
      </w:r>
      <w:r>
        <w:rPr>
          <w:rFonts w:ascii="Times New Roman" w:hAnsi="Times New Roman" w:eastAsia="Times New Roman"/>
          <w:sz w:val="30"/>
        </w:rPr>
        <w:t>“</w:t>
      </w:r>
      <w:r>
        <w:rPr>
          <w:rFonts w:hint="eastAsia" w:ascii="楷体" w:hAnsi="楷体" w:eastAsia="楷体"/>
          <w:sz w:val="30"/>
        </w:rPr>
        <w:t>三公</w:t>
      </w:r>
      <w:r>
        <w:rPr>
          <w:rFonts w:ascii="Times New Roman" w:hAnsi="Times New Roman" w:eastAsia="Times New Roman"/>
          <w:sz w:val="30"/>
        </w:rPr>
        <w:t>”</w:t>
      </w:r>
      <w:r>
        <w:rPr>
          <w:rFonts w:hint="eastAsia" w:ascii="楷体" w:hAnsi="楷体" w:eastAsia="楷体"/>
          <w:sz w:val="30"/>
        </w:rPr>
        <w:t>经费、行政参公单位机关运行经费情况表</w:t>
      </w:r>
    </w:p>
    <w:p>
      <w:pPr>
        <w:spacing w:line="600" w:lineRule="exact"/>
        <w:jc w:val="left"/>
        <w:rPr>
          <w:rFonts w:ascii="Times New Roman" w:hAnsi="Times New Roman" w:eastAsia="Times New Roman"/>
          <w:sz w:val="30"/>
        </w:rPr>
      </w:pPr>
      <w:r>
        <w:rPr>
          <w:rFonts w:hint="eastAsia" w:ascii="黑体" w:hAnsi="黑体" w:eastAsia="黑体"/>
          <w:sz w:val="30"/>
        </w:rPr>
        <w:t xml:space="preserve">   第三部分  2019年度部门决算情况说明</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一、收入决算情况说明</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二、支出决算情况说明</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三、一般公共预算财政拨款支出决算情况说明</w:t>
      </w:r>
    </w:p>
    <w:p>
      <w:pPr>
        <w:spacing w:line="600" w:lineRule="exact"/>
        <w:jc w:val="left"/>
        <w:rPr>
          <w:rFonts w:ascii="Times New Roman" w:hAnsi="Times New Roman" w:eastAsia="Times New Roman"/>
          <w:sz w:val="30"/>
        </w:rPr>
      </w:pPr>
      <w:r>
        <w:rPr>
          <w:rFonts w:hint="eastAsia" w:ascii="黑体" w:hAnsi="黑体" w:eastAsia="黑体"/>
          <w:sz w:val="30"/>
        </w:rPr>
        <w:t xml:space="preserve">   </w:t>
      </w:r>
      <w:r>
        <w:rPr>
          <w:rFonts w:hint="eastAsia" w:ascii="楷体" w:hAnsi="楷体" w:eastAsia="楷体"/>
          <w:sz w:val="30"/>
        </w:rPr>
        <w:t>四、一般公共预算财政拨款</w:t>
      </w:r>
      <w:r>
        <w:rPr>
          <w:rFonts w:ascii="Times New Roman" w:hAnsi="Times New Roman" w:eastAsia="Times New Roman"/>
          <w:sz w:val="30"/>
        </w:rPr>
        <w:t>“</w:t>
      </w:r>
      <w:r>
        <w:rPr>
          <w:rFonts w:hint="eastAsia" w:ascii="楷体" w:hAnsi="楷体" w:eastAsia="楷体"/>
          <w:sz w:val="30"/>
        </w:rPr>
        <w:t>三公</w:t>
      </w:r>
      <w:r>
        <w:rPr>
          <w:rFonts w:ascii="Times New Roman" w:hAnsi="Times New Roman" w:eastAsia="Times New Roman"/>
          <w:sz w:val="30"/>
        </w:rPr>
        <w:t>”</w:t>
      </w:r>
      <w:r>
        <w:rPr>
          <w:rFonts w:hint="eastAsia" w:ascii="楷体" w:hAnsi="楷体" w:eastAsia="楷体"/>
          <w:sz w:val="30"/>
        </w:rPr>
        <w:t>经费支出决算情况说明</w:t>
      </w:r>
    </w:p>
    <w:p>
      <w:pPr>
        <w:spacing w:line="600" w:lineRule="exact"/>
        <w:jc w:val="left"/>
        <w:rPr>
          <w:rFonts w:ascii="Times New Roman" w:hAnsi="Times New Roman" w:eastAsia="Times New Roman"/>
          <w:sz w:val="30"/>
        </w:rPr>
      </w:pPr>
      <w:r>
        <w:rPr>
          <w:rFonts w:hint="eastAsia" w:ascii="黑体" w:hAnsi="黑体" w:eastAsia="黑体"/>
          <w:sz w:val="30"/>
        </w:rPr>
        <w:t xml:space="preserve">   第四部分  其他重要事项及相关口径情况说明</w:t>
      </w:r>
    </w:p>
    <w:p>
      <w:pPr>
        <w:spacing w:line="600" w:lineRule="exact"/>
        <w:jc w:val="left"/>
        <w:rPr>
          <w:rFonts w:ascii="Times New Roman" w:hAnsi="Times New Roman" w:eastAsia="Times New Roman"/>
          <w:sz w:val="30"/>
        </w:rPr>
      </w:pPr>
      <w:r>
        <w:rPr>
          <w:rFonts w:hint="eastAsia" w:ascii="楷体" w:hAnsi="楷体" w:eastAsia="楷体"/>
          <w:sz w:val="30"/>
        </w:rPr>
        <w:t xml:space="preserve">   一、机关运行经费支出情况</w:t>
      </w:r>
    </w:p>
    <w:p>
      <w:pPr>
        <w:spacing w:line="600" w:lineRule="exact"/>
        <w:jc w:val="left"/>
        <w:rPr>
          <w:rFonts w:ascii="Times New Roman" w:hAnsi="Times New Roman" w:eastAsia="Times New Roman"/>
          <w:sz w:val="30"/>
        </w:rPr>
      </w:pPr>
      <w:r>
        <w:rPr>
          <w:rFonts w:hint="eastAsia" w:ascii="楷体" w:hAnsi="楷体" w:eastAsia="楷体"/>
          <w:sz w:val="30"/>
        </w:rPr>
        <w:t xml:space="preserve">   二、国有资产占有情况</w:t>
      </w:r>
    </w:p>
    <w:p>
      <w:pPr>
        <w:spacing w:line="600" w:lineRule="exact"/>
        <w:jc w:val="left"/>
        <w:rPr>
          <w:rFonts w:ascii="Times New Roman" w:hAnsi="Times New Roman" w:eastAsia="Times New Roman"/>
          <w:sz w:val="30"/>
        </w:rPr>
      </w:pPr>
      <w:r>
        <w:rPr>
          <w:rFonts w:hint="eastAsia" w:ascii="楷体" w:hAnsi="楷体" w:eastAsia="楷体"/>
          <w:sz w:val="30"/>
        </w:rPr>
        <w:t xml:space="preserve">   三、政府采购支出情况</w:t>
      </w:r>
    </w:p>
    <w:p>
      <w:pPr>
        <w:spacing w:line="600" w:lineRule="exact"/>
        <w:jc w:val="left"/>
        <w:rPr>
          <w:rFonts w:ascii="Times New Roman" w:hAnsi="Times New Roman" w:eastAsia="Times New Roman"/>
          <w:sz w:val="30"/>
        </w:rPr>
      </w:pPr>
      <w:r>
        <w:rPr>
          <w:rFonts w:hint="eastAsia" w:ascii="楷体" w:hAnsi="楷体" w:eastAsia="楷体"/>
          <w:sz w:val="30"/>
        </w:rPr>
        <w:t xml:space="preserve">   四、部门绩效自评情况</w:t>
      </w:r>
    </w:p>
    <w:p>
      <w:pPr>
        <w:spacing w:line="600" w:lineRule="exact"/>
        <w:jc w:val="left"/>
        <w:rPr>
          <w:rFonts w:ascii="Times New Roman" w:hAnsi="Times New Roman" w:eastAsia="Times New Roman"/>
          <w:sz w:val="30"/>
        </w:rPr>
      </w:pPr>
      <w:r>
        <w:rPr>
          <w:rFonts w:hint="eastAsia" w:ascii="楷体" w:hAnsi="楷体" w:eastAsia="楷体"/>
          <w:sz w:val="30"/>
        </w:rPr>
        <w:t xml:space="preserve">   （一）项目支出绩效自评/项目支出绩效自评报告（表）</w:t>
      </w:r>
    </w:p>
    <w:p>
      <w:pPr>
        <w:spacing w:line="600" w:lineRule="exact"/>
        <w:jc w:val="left"/>
        <w:rPr>
          <w:rFonts w:ascii="Times New Roman" w:hAnsi="Times New Roman" w:eastAsia="Times New Roman"/>
          <w:sz w:val="30"/>
        </w:rPr>
      </w:pPr>
      <w:r>
        <w:rPr>
          <w:rFonts w:hint="eastAsia" w:ascii="楷体" w:hAnsi="楷体" w:eastAsia="楷体"/>
          <w:sz w:val="30"/>
        </w:rPr>
        <w:t xml:space="preserve">   （二）部门整体支出绩效自评报告</w:t>
      </w:r>
    </w:p>
    <w:p>
      <w:pPr>
        <w:spacing w:line="600" w:lineRule="exact"/>
        <w:jc w:val="left"/>
        <w:rPr>
          <w:rFonts w:ascii="Times New Roman" w:hAnsi="Times New Roman" w:eastAsia="Times New Roman"/>
          <w:sz w:val="30"/>
        </w:rPr>
      </w:pPr>
      <w:r>
        <w:rPr>
          <w:rFonts w:hint="eastAsia" w:ascii="楷体" w:hAnsi="楷体" w:eastAsia="楷体"/>
          <w:sz w:val="30"/>
        </w:rPr>
        <w:t xml:space="preserve">   （三）部门整体支出绩效自评表</w:t>
      </w:r>
    </w:p>
    <w:p>
      <w:pPr>
        <w:spacing w:line="600" w:lineRule="exact"/>
        <w:jc w:val="left"/>
        <w:rPr>
          <w:rFonts w:ascii="Times New Roman" w:hAnsi="Times New Roman" w:eastAsia="Times New Roman"/>
          <w:sz w:val="30"/>
        </w:rPr>
      </w:pPr>
      <w:r>
        <w:rPr>
          <w:rFonts w:hint="eastAsia" w:ascii="楷体" w:hAnsi="楷体" w:eastAsia="楷体"/>
          <w:sz w:val="30"/>
        </w:rPr>
        <w:t xml:space="preserve">   五、其他重要事项情况说明</w:t>
      </w:r>
    </w:p>
    <w:p>
      <w:pPr>
        <w:spacing w:line="600" w:lineRule="exact"/>
        <w:jc w:val="left"/>
        <w:rPr>
          <w:rFonts w:ascii="Times New Roman" w:hAnsi="Times New Roman" w:eastAsia="Times New Roman"/>
          <w:sz w:val="30"/>
        </w:rPr>
      </w:pPr>
      <w:r>
        <w:rPr>
          <w:rFonts w:hint="eastAsia" w:ascii="楷体" w:hAnsi="楷体" w:eastAsia="楷体"/>
          <w:sz w:val="30"/>
        </w:rPr>
        <w:t xml:space="preserve">   六、相关口径说明</w:t>
      </w:r>
    </w:p>
    <w:p>
      <w:pPr>
        <w:spacing w:line="600" w:lineRule="exact"/>
        <w:jc w:val="left"/>
        <w:rPr>
          <w:rFonts w:ascii="Times New Roman" w:hAnsi="Times New Roman" w:eastAsia="Times New Roman"/>
          <w:sz w:val="30"/>
        </w:rPr>
      </w:pPr>
      <w:r>
        <w:rPr>
          <w:rFonts w:hint="eastAsia" w:ascii="楷体" w:hAnsi="楷体" w:eastAsia="楷体"/>
          <w:sz w:val="30"/>
        </w:rPr>
        <w:t xml:space="preserve">   </w:t>
      </w:r>
      <w:r>
        <w:rPr>
          <w:rFonts w:hint="eastAsia" w:ascii="黑体" w:hAnsi="黑体" w:eastAsia="黑体"/>
          <w:sz w:val="30"/>
        </w:rPr>
        <w:t>第五部分  名词解释</w:t>
      </w: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left"/>
        <w:rPr>
          <w:rFonts w:ascii="Times New Roman" w:hAnsi="Times New Roman" w:eastAsia="Times New Roman"/>
          <w:sz w:val="30"/>
        </w:rPr>
      </w:pPr>
    </w:p>
    <w:p>
      <w:pPr>
        <w:spacing w:line="600" w:lineRule="exact"/>
        <w:jc w:val="center"/>
        <w:rPr>
          <w:rFonts w:ascii="Times New Roman" w:hAnsi="Times New Roman" w:eastAsia="Times New Roman"/>
          <w:sz w:val="32"/>
        </w:rPr>
      </w:pPr>
      <w:r>
        <w:rPr>
          <w:rFonts w:hint="eastAsia" w:ascii="黑体" w:hAnsi="黑体" w:eastAsia="黑体"/>
          <w:sz w:val="32"/>
        </w:rPr>
        <w:t>第一部分  德宏州梁河县茶叶技术推广站概况</w:t>
      </w:r>
    </w:p>
    <w:p>
      <w:pPr>
        <w:spacing w:line="600" w:lineRule="exact"/>
        <w:ind w:firstLine="600"/>
        <w:rPr>
          <w:rFonts w:ascii="Times New Roman" w:hAnsi="Times New Roman" w:eastAsia="Times New Roman"/>
          <w:sz w:val="30"/>
        </w:rPr>
      </w:pPr>
      <w:r>
        <w:rPr>
          <w:rFonts w:hint="eastAsia" w:ascii="黑体" w:hAnsi="黑体" w:eastAsia="黑体"/>
          <w:sz w:val="30"/>
        </w:rPr>
        <w:t>一、主要职能</w:t>
      </w:r>
    </w:p>
    <w:p>
      <w:pPr>
        <w:spacing w:line="600" w:lineRule="exact"/>
        <w:ind w:firstLine="600"/>
        <w:rPr>
          <w:rFonts w:ascii="仿宋" w:hAnsi="仿宋" w:eastAsia="仿宋" w:cs="仿宋"/>
          <w:sz w:val="30"/>
          <w:szCs w:val="30"/>
        </w:rPr>
      </w:pPr>
      <w:r>
        <w:rPr>
          <w:rFonts w:hint="eastAsia" w:ascii="仿宋" w:hAnsi="仿宋" w:eastAsia="仿宋" w:cs="仿宋"/>
          <w:sz w:val="30"/>
          <w:szCs w:val="30"/>
        </w:rPr>
        <w:t>（一）主要职能</w:t>
      </w:r>
    </w:p>
    <w:p>
      <w:pPr>
        <w:pStyle w:val="3"/>
        <w:adjustRightInd w:val="0"/>
        <w:snapToGrid w:val="0"/>
        <w:spacing w:before="0" w:beforeAutospacing="0" w:after="0" w:afterAutospacing="0" w:line="360" w:lineRule="auto"/>
        <w:ind w:firstLine="600" w:firstLineChars="200"/>
        <w:rPr>
          <w:rFonts w:ascii="仿宋" w:hAnsi="仿宋" w:eastAsia="仿宋" w:cs="仿宋"/>
          <w:bCs/>
          <w:sz w:val="30"/>
          <w:szCs w:val="30"/>
        </w:rPr>
      </w:pPr>
      <w:r>
        <w:rPr>
          <w:rFonts w:hint="eastAsia" w:ascii="仿宋" w:hAnsi="仿宋" w:eastAsia="仿宋" w:cs="仿宋"/>
          <w:bCs/>
          <w:sz w:val="30"/>
          <w:szCs w:val="30"/>
        </w:rPr>
        <w:t>梁河县茶叶技术推广站成立于1981年12月，隶属于县农业局管理，是国家公益性一类全额财政拨款事业单位，主要职能职责为：</w:t>
      </w:r>
    </w:p>
    <w:p>
      <w:pPr>
        <w:pStyle w:val="3"/>
        <w:adjustRightInd w:val="0"/>
        <w:snapToGrid w:val="0"/>
        <w:spacing w:before="0" w:beforeAutospacing="0" w:after="0" w:afterAutospacing="0" w:line="360" w:lineRule="auto"/>
        <w:ind w:firstLine="600" w:firstLineChars="200"/>
        <w:rPr>
          <w:rFonts w:ascii="仿宋" w:hAnsi="仿宋" w:eastAsia="仿宋" w:cs="仿宋"/>
          <w:bCs/>
          <w:sz w:val="30"/>
          <w:szCs w:val="30"/>
        </w:rPr>
      </w:pPr>
      <w:r>
        <w:rPr>
          <w:rFonts w:hint="eastAsia" w:ascii="仿宋" w:hAnsi="仿宋" w:eastAsia="仿宋" w:cs="仿宋"/>
          <w:bCs/>
          <w:sz w:val="30"/>
          <w:szCs w:val="30"/>
        </w:rPr>
        <w:t>（1）、贯彻执行上级党委、政府和主管部门有关发展茶叶生产的方针、政策、向上级提出发展茶叶生产意见建议；</w:t>
      </w:r>
    </w:p>
    <w:p>
      <w:pPr>
        <w:pStyle w:val="3"/>
        <w:adjustRightInd w:val="0"/>
        <w:snapToGrid w:val="0"/>
        <w:spacing w:before="0" w:beforeAutospacing="0" w:after="0" w:afterAutospacing="0" w:line="360" w:lineRule="auto"/>
        <w:ind w:firstLine="600" w:firstLineChars="200"/>
        <w:rPr>
          <w:rFonts w:ascii="仿宋" w:hAnsi="仿宋" w:eastAsia="仿宋" w:cs="仿宋"/>
          <w:bCs/>
          <w:sz w:val="30"/>
          <w:szCs w:val="30"/>
        </w:rPr>
      </w:pPr>
      <w:r>
        <w:rPr>
          <w:rFonts w:hint="eastAsia" w:ascii="仿宋" w:hAnsi="仿宋" w:eastAsia="仿宋" w:cs="仿宋"/>
          <w:bCs/>
          <w:sz w:val="30"/>
          <w:szCs w:val="30"/>
        </w:rPr>
        <w:t>（2）、编制全县茶叶产业发展规划、计划并积极组织落实实施；</w:t>
      </w:r>
    </w:p>
    <w:p>
      <w:pPr>
        <w:pStyle w:val="3"/>
        <w:adjustRightInd w:val="0"/>
        <w:snapToGrid w:val="0"/>
        <w:spacing w:before="0" w:beforeAutospacing="0" w:after="0" w:afterAutospacing="0" w:line="360" w:lineRule="auto"/>
        <w:ind w:firstLine="600" w:firstLineChars="200"/>
        <w:rPr>
          <w:rFonts w:ascii="仿宋" w:hAnsi="仿宋" w:eastAsia="仿宋" w:cs="仿宋"/>
          <w:bCs/>
          <w:sz w:val="30"/>
          <w:szCs w:val="30"/>
        </w:rPr>
      </w:pPr>
      <w:r>
        <w:rPr>
          <w:rFonts w:hint="eastAsia" w:ascii="仿宋" w:hAnsi="仿宋" w:eastAsia="仿宋" w:cs="仿宋"/>
          <w:bCs/>
          <w:sz w:val="30"/>
          <w:szCs w:val="30"/>
        </w:rPr>
        <w:t xml:space="preserve"> (3)、撰写编制茶叶相关项目申报材料；</w:t>
      </w:r>
    </w:p>
    <w:p>
      <w:pPr>
        <w:pStyle w:val="3"/>
        <w:adjustRightInd w:val="0"/>
        <w:snapToGrid w:val="0"/>
        <w:spacing w:before="0" w:beforeAutospacing="0" w:after="0" w:afterAutospacing="0" w:line="360" w:lineRule="auto"/>
        <w:ind w:firstLine="600" w:firstLineChars="200"/>
        <w:rPr>
          <w:rFonts w:ascii="仿宋" w:hAnsi="仿宋" w:eastAsia="仿宋" w:cs="仿宋"/>
          <w:bCs/>
          <w:sz w:val="30"/>
          <w:szCs w:val="30"/>
        </w:rPr>
      </w:pPr>
      <w:r>
        <w:rPr>
          <w:rFonts w:hint="eastAsia" w:ascii="仿宋" w:hAnsi="仿宋" w:eastAsia="仿宋" w:cs="仿宋"/>
          <w:bCs/>
          <w:sz w:val="30"/>
          <w:szCs w:val="30"/>
        </w:rPr>
        <w:t xml:space="preserve"> (4)、负责全县茶叶新品种、新技术研发、引进、试验、示范和推广以及茶叶种植生产、加工、管理、技术培训、技术咨询、技术指导服务；</w:t>
      </w:r>
    </w:p>
    <w:p>
      <w:pPr>
        <w:pStyle w:val="3"/>
        <w:adjustRightInd w:val="0"/>
        <w:snapToGrid w:val="0"/>
        <w:spacing w:before="0" w:beforeAutospacing="0" w:after="0" w:afterAutospacing="0" w:line="360" w:lineRule="auto"/>
        <w:ind w:firstLine="600" w:firstLineChars="200"/>
        <w:rPr>
          <w:rFonts w:ascii="仿宋" w:hAnsi="仿宋" w:eastAsia="仿宋" w:cs="仿宋"/>
          <w:bCs/>
          <w:sz w:val="30"/>
          <w:szCs w:val="30"/>
        </w:rPr>
      </w:pPr>
      <w:r>
        <w:rPr>
          <w:rFonts w:hint="eastAsia" w:ascii="仿宋" w:hAnsi="仿宋" w:eastAsia="仿宋" w:cs="仿宋"/>
          <w:bCs/>
          <w:sz w:val="30"/>
          <w:szCs w:val="30"/>
        </w:rPr>
        <w:t>(5)、做好茶叶产业发展宣传，充分利用“农信通”，农业“110”“媒体通讯网络”，等服务平台积极为茶农、茶企业、茶商提供信息服务。</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2．机构设置情况</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纳入2019年部门预决算编报的单位共1个。 人员编制为11</w:t>
      </w:r>
      <w:r>
        <w:rPr>
          <w:rFonts w:hint="eastAsia" w:ascii="仿宋" w:hAnsi="仿宋" w:eastAsia="仿宋" w:cs="仿宋"/>
          <w:kern w:val="0"/>
          <w:sz w:val="30"/>
          <w:szCs w:val="30"/>
        </w:rPr>
        <w:t>人，均为事业编制；在编实有车辆</w:t>
      </w:r>
      <w:r>
        <w:rPr>
          <w:rFonts w:hint="eastAsia" w:ascii="仿宋" w:hAnsi="仿宋" w:eastAsia="仿宋" w:cs="仿宋"/>
          <w:sz w:val="30"/>
          <w:szCs w:val="30"/>
        </w:rPr>
        <w:t>1</w:t>
      </w:r>
      <w:r>
        <w:rPr>
          <w:rFonts w:hint="eastAsia" w:ascii="仿宋" w:hAnsi="仿宋" w:eastAsia="仿宋" w:cs="仿宋"/>
          <w:kern w:val="0"/>
          <w:sz w:val="30"/>
          <w:szCs w:val="30"/>
        </w:rPr>
        <w:t>辆。</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3．人员编制情况</w:t>
      </w:r>
    </w:p>
    <w:p>
      <w:pPr>
        <w:widowControl w:val="0"/>
        <w:adjustRightInd w:val="0"/>
        <w:snapToGrid w:val="0"/>
        <w:spacing w:line="360" w:lineRule="auto"/>
        <w:ind w:firstLine="600" w:firstLineChars="200"/>
        <w:rPr>
          <w:rFonts w:ascii="仿宋" w:hAnsi="仿宋" w:eastAsia="仿宋" w:cs="仿宋"/>
          <w:kern w:val="0"/>
          <w:sz w:val="30"/>
          <w:szCs w:val="30"/>
        </w:rPr>
      </w:pPr>
      <w:r>
        <w:rPr>
          <w:rFonts w:hint="eastAsia" w:ascii="仿宋" w:hAnsi="仿宋" w:eastAsia="仿宋" w:cs="仿宋"/>
          <w:sz w:val="30"/>
          <w:szCs w:val="30"/>
        </w:rPr>
        <w:t>梁河县茶技站单位编制为11人，均为</w:t>
      </w:r>
      <w:r>
        <w:rPr>
          <w:rFonts w:hint="eastAsia" w:ascii="仿宋" w:hAnsi="仿宋" w:eastAsia="仿宋" w:cs="仿宋"/>
          <w:color w:val="000000"/>
          <w:kern w:val="0"/>
          <w:sz w:val="30"/>
          <w:szCs w:val="30"/>
        </w:rPr>
        <w:t>事业编制</w:t>
      </w:r>
      <w:r>
        <w:rPr>
          <w:rFonts w:hint="eastAsia" w:ascii="仿宋" w:hAnsi="仿宋" w:eastAsia="仿宋" w:cs="仿宋"/>
          <w:sz w:val="30"/>
          <w:szCs w:val="30"/>
        </w:rPr>
        <w:t>；2019年有在编在职人员10人，其中：专业技术人员7人、技术工人3人，</w:t>
      </w:r>
      <w:r>
        <w:rPr>
          <w:rFonts w:hint="eastAsia" w:ascii="仿宋" w:hAnsi="仿宋" w:eastAsia="仿宋" w:cs="仿宋"/>
          <w:kern w:val="0"/>
          <w:sz w:val="30"/>
          <w:szCs w:val="30"/>
        </w:rPr>
        <w:t>均为财政全供养。</w:t>
      </w:r>
    </w:p>
    <w:p>
      <w:pPr>
        <w:snapToGrid w:val="0"/>
        <w:spacing w:line="360" w:lineRule="auto"/>
        <w:ind w:firstLine="600" w:firstLineChars="200"/>
        <w:rPr>
          <w:rFonts w:ascii="仿宋" w:hAnsi="仿宋" w:eastAsia="仿宋" w:cs="仿宋"/>
          <w:kern w:val="0"/>
          <w:sz w:val="30"/>
          <w:szCs w:val="30"/>
        </w:rPr>
      </w:pPr>
      <w:r>
        <w:rPr>
          <w:rFonts w:hint="eastAsia" w:ascii="仿宋" w:hAnsi="仿宋" w:eastAsia="仿宋" w:cs="仿宋"/>
          <w:kern w:val="0"/>
          <w:sz w:val="30"/>
          <w:szCs w:val="30"/>
        </w:rPr>
        <w:t>离退休人员</w:t>
      </w:r>
      <w:r>
        <w:rPr>
          <w:rFonts w:hint="eastAsia" w:ascii="仿宋" w:hAnsi="仿宋" w:eastAsia="仿宋" w:cs="仿宋"/>
          <w:sz w:val="30"/>
          <w:szCs w:val="30"/>
        </w:rPr>
        <w:t>4</w:t>
      </w:r>
      <w:r>
        <w:rPr>
          <w:rFonts w:hint="eastAsia" w:ascii="仿宋" w:hAnsi="仿宋" w:eastAsia="仿宋" w:cs="仿宋"/>
          <w:kern w:val="0"/>
          <w:sz w:val="30"/>
          <w:szCs w:val="30"/>
        </w:rPr>
        <w:t>人，其中：离休</w:t>
      </w:r>
      <w:r>
        <w:rPr>
          <w:rFonts w:hint="eastAsia" w:ascii="仿宋" w:hAnsi="仿宋" w:eastAsia="仿宋" w:cs="仿宋"/>
          <w:sz w:val="30"/>
          <w:szCs w:val="30"/>
        </w:rPr>
        <w:t>0</w:t>
      </w:r>
      <w:r>
        <w:rPr>
          <w:rFonts w:hint="eastAsia" w:ascii="仿宋" w:hAnsi="仿宋" w:eastAsia="仿宋" w:cs="仿宋"/>
          <w:kern w:val="0"/>
          <w:sz w:val="30"/>
          <w:szCs w:val="30"/>
        </w:rPr>
        <w:t>人，退休</w:t>
      </w:r>
      <w:r>
        <w:rPr>
          <w:rFonts w:hint="eastAsia" w:ascii="仿宋" w:hAnsi="仿宋" w:eastAsia="仿宋" w:cs="仿宋"/>
          <w:sz w:val="30"/>
          <w:szCs w:val="30"/>
        </w:rPr>
        <w:t>3</w:t>
      </w:r>
      <w:r>
        <w:rPr>
          <w:rFonts w:hint="eastAsia" w:ascii="仿宋" w:hAnsi="仿宋" w:eastAsia="仿宋" w:cs="仿宋"/>
          <w:kern w:val="0"/>
          <w:sz w:val="30"/>
          <w:szCs w:val="30"/>
        </w:rPr>
        <w:t>人。</w:t>
      </w:r>
    </w:p>
    <w:p>
      <w:pPr>
        <w:spacing w:line="600" w:lineRule="exact"/>
        <w:ind w:firstLine="630"/>
        <w:rPr>
          <w:rFonts w:ascii="Times New Roman" w:hAnsi="Times New Roman" w:eastAsia="Times New Roman"/>
          <w:sz w:val="30"/>
        </w:rPr>
      </w:pPr>
      <w:r>
        <w:rPr>
          <w:rFonts w:hint="eastAsia" w:ascii="楷体" w:hAnsi="楷体" w:eastAsia="楷体"/>
          <w:sz w:val="30"/>
        </w:rPr>
        <w:t>（二）2019年度重点工作任务介绍</w:t>
      </w:r>
    </w:p>
    <w:p>
      <w:pPr>
        <w:widowControl w:val="0"/>
        <w:adjustRightInd w:val="0"/>
        <w:snapToGrid w:val="0"/>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2019年梁河茶叶技术推广站在县农业农村局及上级业务主管部门的领导和关心支持下，坚持以习近平新时代中国特色社会主义思想为指导，“</w:t>
      </w:r>
      <w:bookmarkStart w:id="0" w:name="_GoBack"/>
      <w:r>
        <w:rPr>
          <w:rFonts w:hint="eastAsia" w:ascii="仿宋" w:hAnsi="仿宋" w:eastAsia="仿宋" w:cs="仿宋"/>
          <w:color w:val="000000" w:themeColor="text1"/>
          <w:sz w:val="30"/>
          <w:szCs w:val="30"/>
        </w:rPr>
        <w:t>不忘初心</w:t>
      </w:r>
      <w:bookmarkEnd w:id="0"/>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rPr>
        <w:t>牢记使命”以全县茶叶科技进步、产业提质增效和茶农增收致富等为主要目标任务及职责所在，积极努力开展各项工作：</w:t>
      </w:r>
    </w:p>
    <w:p>
      <w:pPr>
        <w:widowControl w:val="0"/>
        <w:adjustRightInd w:val="0"/>
        <w:snapToGrid w:val="0"/>
        <w:spacing w:line="360" w:lineRule="auto"/>
        <w:ind w:firstLine="602" w:firstLineChars="200"/>
        <w:rPr>
          <w:rFonts w:ascii="仿宋" w:hAnsi="仿宋" w:eastAsia="仿宋" w:cs="仿宋"/>
          <w:bCs/>
          <w:color w:val="000000" w:themeColor="text1"/>
          <w:sz w:val="30"/>
          <w:szCs w:val="30"/>
        </w:rPr>
      </w:pPr>
      <w:r>
        <w:rPr>
          <w:rFonts w:hint="eastAsia" w:ascii="仿宋" w:hAnsi="仿宋" w:eastAsia="仿宋" w:cs="仿宋"/>
          <w:b/>
          <w:color w:val="000000" w:themeColor="text1"/>
          <w:sz w:val="30"/>
          <w:szCs w:val="30"/>
        </w:rPr>
        <w:t>1.紧紧围绕梁河县茶产业转型升级、提质增效目标任务要求，认真履行单位相关业务职能，积极落实做好全县茶叶生产发展的一系列相关项目实施、科技试验示范推广指导及其产前产中产后服务工作：一是</w:t>
      </w:r>
      <w:r>
        <w:rPr>
          <w:rFonts w:hint="eastAsia" w:ascii="仿宋" w:hAnsi="仿宋" w:eastAsia="仿宋" w:cs="仿宋"/>
          <w:bCs/>
          <w:color w:val="000000" w:themeColor="text1"/>
          <w:sz w:val="30"/>
          <w:szCs w:val="30"/>
        </w:rPr>
        <w:t>全力抓好全县茶叶生产管理与技术指导服务工作；</w:t>
      </w:r>
      <w:r>
        <w:rPr>
          <w:rFonts w:hint="eastAsia" w:ascii="仿宋" w:hAnsi="仿宋" w:eastAsia="仿宋" w:cs="仿宋"/>
          <w:color w:val="000000" w:themeColor="text1"/>
          <w:sz w:val="30"/>
          <w:szCs w:val="30"/>
        </w:rPr>
        <w:t>二是积极开展好相关茶叶科技培训工作：一年来积极配合参与农业、扶贫、人社、组织部、农开等部门，开展的“高优立体生态茶园建设”、“优势农产品”、“2019乡土人才科技培训”、“新型经营主体带动建档立卡贫困户培训”、“粮食作物间套种”、“古茶园保护与合理开发利用”等等项目实施的相关培训工作，通过培训，不断提升广大茶农科技素质和茶叶生产水平。累计参与茶叶技术培训会35期次、培训茶农达3000余人次（建档立卡贫困户1400多人次），其中本单位举办培训22期次，培训人数1000余人次（建档立卡贫困户300余人次）；</w:t>
      </w:r>
      <w:r>
        <w:rPr>
          <w:rFonts w:hint="eastAsia" w:ascii="仿宋" w:hAnsi="仿宋" w:eastAsia="仿宋" w:cs="仿宋"/>
          <w:bCs/>
          <w:color w:val="000000" w:themeColor="text1"/>
          <w:sz w:val="30"/>
          <w:szCs w:val="30"/>
        </w:rPr>
        <w:t>三是积极组织做好梁河回龙茶的宣传推介及对外展示展销工作；四是积极参与梁河县茶叶龙头企业招商引资工作，及时提供相关材料和做好一系列相关陪同接待服务等；五是积极组织做好梁河县境内的古茶树资源情况调查落实及其保护与合理开发利用工作；六是及时完成好州局安排的年度茶叶生产统计及相关材料撰写工作。</w:t>
      </w:r>
    </w:p>
    <w:p>
      <w:pPr>
        <w:pStyle w:val="2"/>
        <w:widowControl w:val="0"/>
        <w:snapToGrid w:val="0"/>
        <w:spacing w:before="0" w:after="0" w:line="360" w:lineRule="auto"/>
        <w:ind w:firstLine="602"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2.积极加强做好单位各项制度完善管理和职工学习教育，促进各种目标责任制及全面工作落实开展。</w:t>
      </w:r>
    </w:p>
    <w:p>
      <w:pPr>
        <w:spacing w:line="600" w:lineRule="exact"/>
        <w:ind w:firstLine="630"/>
        <w:rPr>
          <w:rFonts w:ascii="仿宋" w:hAnsi="仿宋" w:eastAsia="仿宋" w:cs="仿宋"/>
          <w:color w:val="000000" w:themeColor="text1"/>
          <w:sz w:val="30"/>
          <w:szCs w:val="30"/>
        </w:rPr>
      </w:pPr>
      <w:r>
        <w:rPr>
          <w:rFonts w:hint="eastAsia" w:ascii="仿宋" w:hAnsi="仿宋" w:eastAsia="仿宋" w:cs="仿宋"/>
          <w:b/>
          <w:bCs/>
          <w:color w:val="000000" w:themeColor="text1"/>
          <w:sz w:val="30"/>
          <w:szCs w:val="30"/>
        </w:rPr>
        <w:t>3.积极深入各乡镇、扶贫挂钩村开展好脱贫攻坚相关工作：</w:t>
      </w:r>
      <w:r>
        <w:rPr>
          <w:rFonts w:hint="eastAsia" w:ascii="仿宋" w:hAnsi="仿宋" w:eastAsia="仿宋" w:cs="仿宋"/>
          <w:color w:val="000000" w:themeColor="text1"/>
          <w:sz w:val="30"/>
          <w:szCs w:val="30"/>
        </w:rPr>
        <w:t>据统计，全县共有建档立卡贫困户7839户31806人，其中在茶叶主产区的42个村委会中有4500多户18400多人。茶叶产业基本涵盖了全县山区、半山区的村村寨寨和山山洼洼，在山区人民的收入中每3元钱就有1元是来自茶叶，为山区群众养家糊口、吃粮买盐、供子女求学、看病养老、改善生活等方方面面发挥着巨大的作用。</w:t>
      </w:r>
    </w:p>
    <w:p>
      <w:pPr>
        <w:spacing w:line="600" w:lineRule="exact"/>
        <w:ind w:firstLine="600"/>
        <w:rPr>
          <w:rFonts w:ascii="Times New Roman" w:hAnsi="Times New Roman" w:eastAsia="Times New Roman"/>
          <w:sz w:val="30"/>
        </w:rPr>
      </w:pPr>
      <w:r>
        <w:rPr>
          <w:rFonts w:hint="eastAsia" w:ascii="黑体" w:hAnsi="黑体" w:eastAsia="黑体"/>
          <w:sz w:val="30"/>
        </w:rPr>
        <w:t>二、部门基本情况</w:t>
      </w:r>
    </w:p>
    <w:p>
      <w:pPr>
        <w:spacing w:line="600" w:lineRule="exact"/>
        <w:ind w:firstLine="600"/>
        <w:rPr>
          <w:rFonts w:ascii="Times New Roman" w:hAnsi="Times New Roman" w:eastAsia="Times New Roman"/>
          <w:sz w:val="30"/>
        </w:rPr>
      </w:pPr>
      <w:r>
        <w:rPr>
          <w:rFonts w:hint="eastAsia" w:ascii="楷体" w:hAnsi="楷体" w:eastAsia="楷体"/>
          <w:sz w:val="30"/>
        </w:rPr>
        <w:t>（一）部门决算单位构成</w:t>
      </w:r>
    </w:p>
    <w:p>
      <w:pPr>
        <w:spacing w:line="600" w:lineRule="exact"/>
        <w:ind w:left="596" w:leftChars="284"/>
        <w:rPr>
          <w:rFonts w:ascii="楷体" w:hAnsi="楷体" w:eastAsia="楷体"/>
          <w:color w:val="000000" w:themeColor="text1"/>
          <w:sz w:val="30"/>
        </w:rPr>
      </w:pPr>
      <w:r>
        <w:rPr>
          <w:rFonts w:hint="eastAsia" w:ascii="仿宋" w:hAnsi="仿宋" w:eastAsia="仿宋"/>
          <w:color w:val="000000" w:themeColor="text1"/>
          <w:sz w:val="30"/>
        </w:rPr>
        <w:t xml:space="preserve">纳入2019年度部门决算编报的单位共1个，为事业单位1个。        </w:t>
      </w:r>
      <w:r>
        <w:rPr>
          <w:rFonts w:hint="eastAsia" w:ascii="楷体" w:hAnsi="楷体" w:eastAsia="楷体"/>
          <w:color w:val="000000" w:themeColor="text1"/>
          <w:sz w:val="30"/>
        </w:rPr>
        <w:t xml:space="preserve">(二)部门人员和车辆的编制及实有情况 </w:t>
      </w:r>
    </w:p>
    <w:p>
      <w:pPr>
        <w:widowControl w:val="0"/>
        <w:adjustRightInd w:val="0"/>
        <w:snapToGrid w:val="0"/>
        <w:spacing w:line="360" w:lineRule="auto"/>
        <w:ind w:firstLine="600" w:firstLineChars="200"/>
        <w:rPr>
          <w:rFonts w:ascii="仿宋" w:hAnsi="仿宋" w:eastAsia="仿宋" w:cs="仿宋"/>
          <w:kern w:val="0"/>
          <w:sz w:val="30"/>
          <w:szCs w:val="30"/>
        </w:rPr>
      </w:pPr>
      <w:r>
        <w:rPr>
          <w:rFonts w:hint="eastAsia" w:ascii="仿宋" w:hAnsi="仿宋" w:eastAsia="仿宋"/>
          <w:color w:val="000000" w:themeColor="text1"/>
          <w:sz w:val="30"/>
        </w:rPr>
        <w:t>德宏州梁河县茶叶技术推广站2019年末实有人员编制11</w:t>
      </w:r>
      <w:r>
        <w:rPr>
          <w:rFonts w:hint="eastAsia" w:ascii="仿宋" w:hAnsi="仿宋" w:eastAsia="仿宋"/>
          <w:color w:val="000000" w:themeColor="text1"/>
          <w:kern w:val="0"/>
          <w:sz w:val="30"/>
        </w:rPr>
        <w:t>，均为事业编制；在职在编实有事业人员10人，</w:t>
      </w:r>
      <w:r>
        <w:rPr>
          <w:rFonts w:hint="eastAsia" w:ascii="仿宋" w:hAnsi="仿宋" w:eastAsia="仿宋" w:cs="仿宋"/>
          <w:sz w:val="30"/>
          <w:szCs w:val="30"/>
        </w:rPr>
        <w:t>其中：专业技术人员7人、技术工人3人，</w:t>
      </w:r>
      <w:r>
        <w:rPr>
          <w:rFonts w:hint="eastAsia" w:ascii="仿宋" w:hAnsi="仿宋" w:eastAsia="仿宋" w:cs="仿宋"/>
          <w:kern w:val="0"/>
          <w:sz w:val="30"/>
          <w:szCs w:val="30"/>
        </w:rPr>
        <w:t>均为财政全供养。</w:t>
      </w:r>
    </w:p>
    <w:p>
      <w:pPr>
        <w:spacing w:line="600" w:lineRule="exact"/>
        <w:ind w:firstLine="600"/>
        <w:rPr>
          <w:rFonts w:ascii="Times New Roman" w:hAnsi="Times New Roman" w:eastAsia="Times New Roman"/>
          <w:color w:val="000000" w:themeColor="text1"/>
          <w:kern w:val="0"/>
          <w:sz w:val="30"/>
        </w:rPr>
      </w:pPr>
      <w:r>
        <w:rPr>
          <w:rFonts w:hint="eastAsia" w:ascii="仿宋" w:hAnsi="仿宋" w:eastAsia="仿宋"/>
          <w:color w:val="000000" w:themeColor="text1"/>
          <w:kern w:val="0"/>
          <w:sz w:val="30"/>
        </w:rPr>
        <w:t>离退休人员</w:t>
      </w:r>
      <w:r>
        <w:rPr>
          <w:rFonts w:hint="eastAsia" w:ascii="仿宋" w:hAnsi="仿宋" w:eastAsia="仿宋"/>
          <w:color w:val="000000" w:themeColor="text1"/>
          <w:sz w:val="30"/>
        </w:rPr>
        <w:t>4</w:t>
      </w:r>
      <w:r>
        <w:rPr>
          <w:rFonts w:hint="eastAsia" w:ascii="仿宋" w:hAnsi="仿宋" w:eastAsia="仿宋"/>
          <w:color w:val="000000" w:themeColor="text1"/>
          <w:kern w:val="0"/>
          <w:sz w:val="30"/>
        </w:rPr>
        <w:t>人。其中：离休</w:t>
      </w:r>
      <w:r>
        <w:rPr>
          <w:rFonts w:hint="eastAsia" w:ascii="仿宋" w:hAnsi="仿宋" w:eastAsia="仿宋"/>
          <w:color w:val="000000" w:themeColor="text1"/>
          <w:sz w:val="30"/>
        </w:rPr>
        <w:t>0</w:t>
      </w:r>
      <w:r>
        <w:rPr>
          <w:rFonts w:hint="eastAsia" w:ascii="仿宋" w:hAnsi="仿宋" w:eastAsia="仿宋"/>
          <w:color w:val="000000" w:themeColor="text1"/>
          <w:kern w:val="0"/>
          <w:sz w:val="30"/>
        </w:rPr>
        <w:t>人，退休</w:t>
      </w:r>
      <w:r>
        <w:rPr>
          <w:rFonts w:hint="eastAsia" w:ascii="仿宋" w:hAnsi="仿宋" w:eastAsia="仿宋"/>
          <w:color w:val="000000" w:themeColor="text1"/>
          <w:sz w:val="30"/>
        </w:rPr>
        <w:t>4</w:t>
      </w:r>
      <w:r>
        <w:rPr>
          <w:rFonts w:hint="eastAsia" w:ascii="仿宋" w:hAnsi="仿宋" w:eastAsia="仿宋"/>
          <w:color w:val="000000" w:themeColor="text1"/>
          <w:kern w:val="0"/>
          <w:sz w:val="30"/>
        </w:rPr>
        <w:t>人。</w:t>
      </w:r>
    </w:p>
    <w:p>
      <w:pPr>
        <w:spacing w:line="600" w:lineRule="exact"/>
        <w:ind w:firstLine="600"/>
        <w:rPr>
          <w:rFonts w:ascii="Times New Roman" w:hAnsi="Times New Roman" w:eastAsia="Times New Roman"/>
          <w:color w:val="000000" w:themeColor="text1"/>
          <w:kern w:val="0"/>
          <w:sz w:val="30"/>
        </w:rPr>
      </w:pPr>
      <w:r>
        <w:rPr>
          <w:rFonts w:hint="eastAsia" w:ascii="仿宋" w:hAnsi="仿宋" w:eastAsia="仿宋"/>
          <w:color w:val="000000" w:themeColor="text1"/>
          <w:kern w:val="0"/>
          <w:sz w:val="30"/>
        </w:rPr>
        <w:t>实有车辆编制</w:t>
      </w:r>
      <w:r>
        <w:rPr>
          <w:rFonts w:hint="eastAsia" w:ascii="仿宋" w:hAnsi="仿宋" w:eastAsia="仿宋"/>
          <w:color w:val="000000" w:themeColor="text1"/>
          <w:sz w:val="30"/>
        </w:rPr>
        <w:t>1</w:t>
      </w:r>
      <w:r>
        <w:rPr>
          <w:rFonts w:hint="eastAsia" w:ascii="仿宋" w:hAnsi="仿宋" w:eastAsia="仿宋"/>
          <w:color w:val="000000" w:themeColor="text1"/>
          <w:kern w:val="0"/>
          <w:sz w:val="30"/>
        </w:rPr>
        <w:t>辆，在编实有车辆</w:t>
      </w:r>
      <w:r>
        <w:rPr>
          <w:rFonts w:hint="eastAsia" w:ascii="仿宋" w:hAnsi="仿宋" w:eastAsia="仿宋"/>
          <w:color w:val="000000" w:themeColor="text1"/>
          <w:sz w:val="30"/>
        </w:rPr>
        <w:t>1</w:t>
      </w:r>
      <w:r>
        <w:rPr>
          <w:rFonts w:hint="eastAsia" w:ascii="仿宋" w:hAnsi="仿宋" w:eastAsia="仿宋"/>
          <w:color w:val="000000" w:themeColor="text1"/>
          <w:kern w:val="0"/>
          <w:sz w:val="30"/>
        </w:rPr>
        <w:t>辆。</w:t>
      </w:r>
    </w:p>
    <w:p>
      <w:pPr>
        <w:spacing w:line="600" w:lineRule="exact"/>
        <w:ind w:firstLine="1280" w:firstLineChars="400"/>
        <w:rPr>
          <w:rFonts w:ascii="Times New Roman" w:hAnsi="Times New Roman" w:eastAsia="Times New Roman"/>
          <w:sz w:val="32"/>
        </w:rPr>
      </w:pPr>
      <w:r>
        <w:rPr>
          <w:rFonts w:hint="eastAsia" w:ascii="黑体" w:hAnsi="黑体" w:eastAsia="黑体"/>
          <w:sz w:val="32"/>
        </w:rPr>
        <w:t>第二部分  2019年度部门决算表</w:t>
      </w:r>
    </w:p>
    <w:p>
      <w:pPr>
        <w:spacing w:line="600" w:lineRule="exact"/>
        <w:ind w:firstLine="600"/>
        <w:jc w:val="center"/>
        <w:rPr>
          <w:rFonts w:ascii="Times New Roman" w:hAnsi="Times New Roman" w:eastAsia="Times New Roman"/>
          <w:color w:val="000000" w:themeColor="text1"/>
          <w:sz w:val="30"/>
        </w:rPr>
      </w:pPr>
      <w:r>
        <w:rPr>
          <w:rFonts w:hint="eastAsia" w:ascii="仿宋" w:hAnsi="仿宋" w:eastAsia="仿宋"/>
          <w:color w:val="000000" w:themeColor="text1"/>
          <w:sz w:val="30"/>
        </w:rPr>
        <w:t>（详见附件）</w:t>
      </w:r>
    </w:p>
    <w:p>
      <w:pPr>
        <w:spacing w:line="600" w:lineRule="exact"/>
        <w:ind w:firstLine="600"/>
        <w:jc w:val="center"/>
        <w:rPr>
          <w:rFonts w:ascii="Times New Roman" w:hAnsi="Times New Roman" w:eastAsia="Times New Roman"/>
          <w:sz w:val="30"/>
        </w:rPr>
      </w:pPr>
    </w:p>
    <w:p>
      <w:pPr>
        <w:spacing w:line="600" w:lineRule="exact"/>
        <w:jc w:val="center"/>
        <w:rPr>
          <w:rFonts w:ascii="黑体" w:hAnsi="黑体" w:eastAsia="黑体"/>
          <w:sz w:val="32"/>
        </w:rPr>
      </w:pPr>
    </w:p>
    <w:p>
      <w:pPr>
        <w:spacing w:line="600" w:lineRule="exact"/>
        <w:jc w:val="center"/>
        <w:rPr>
          <w:rFonts w:ascii="Times New Roman" w:hAnsi="Times New Roman" w:eastAsia="Times New Roman"/>
          <w:sz w:val="32"/>
        </w:rPr>
      </w:pPr>
      <w:r>
        <w:rPr>
          <w:rFonts w:hint="eastAsia" w:ascii="黑体" w:hAnsi="黑体" w:eastAsia="黑体"/>
          <w:sz w:val="32"/>
        </w:rPr>
        <w:t>第三部分  2019年度部门决算情况说明</w:t>
      </w:r>
    </w:p>
    <w:p>
      <w:pPr>
        <w:spacing w:line="600" w:lineRule="exact"/>
        <w:ind w:firstLine="600"/>
        <w:jc w:val="left"/>
        <w:rPr>
          <w:rFonts w:ascii="Times New Roman" w:hAnsi="Times New Roman" w:eastAsia="Times New Roman"/>
          <w:sz w:val="30"/>
        </w:rPr>
      </w:pPr>
      <w:r>
        <w:rPr>
          <w:rFonts w:hint="eastAsia" w:ascii="黑体" w:hAnsi="黑体" w:eastAsia="黑体"/>
          <w:sz w:val="30"/>
        </w:rPr>
        <w:t>一、收入决算情况说明</w:t>
      </w:r>
    </w:p>
    <w:p>
      <w:pPr>
        <w:spacing w:line="600" w:lineRule="exact"/>
        <w:ind w:firstLine="538"/>
        <w:jc w:val="left"/>
        <w:rPr>
          <w:rFonts w:ascii="仿宋" w:hAnsi="仿宋" w:eastAsia="仿宋"/>
          <w:sz w:val="30"/>
        </w:rPr>
      </w:pPr>
      <w:r>
        <w:rPr>
          <w:rFonts w:hint="eastAsia" w:ascii="仿宋" w:hAnsi="仿宋" w:eastAsia="仿宋"/>
          <w:sz w:val="30"/>
        </w:rPr>
        <w:t xml:space="preserve">德宏州梁河县茶叶技术推广站2019年度收入合计156.59万元。其中：财政拨款收入156.39万元，占总收入的99.87%；上级补助收入0万元，占总收入的0%；事业收入0万元，占总收入的0%；经营收入0万元，占总收入的0%；附属单位缴款收入0万元，占总收入的0%；其他收入0.2万元，占总收入的0.13%。  </w:t>
      </w:r>
    </w:p>
    <w:p>
      <w:pPr>
        <w:spacing w:line="600" w:lineRule="exact"/>
        <w:ind w:firstLine="538"/>
        <w:jc w:val="left"/>
        <w:rPr>
          <w:rFonts w:ascii="Times New Roman" w:hAnsi="Times New Roman" w:eastAsia="Times New Roman"/>
          <w:color w:val="FF0000"/>
          <w:sz w:val="30"/>
        </w:rPr>
      </w:pPr>
      <w:r>
        <w:rPr>
          <w:rFonts w:hint="eastAsia" w:ascii="仿宋" w:hAnsi="仿宋" w:eastAsia="仿宋"/>
          <w:sz w:val="30"/>
        </w:rPr>
        <w:t>与上年总收入167.84万元相比，减少11.25万元，减少6.7%，其中：财政拨款收入与上年167.84万元相比，减少11.45万元，减少6.82%；其他收入与上年0万元相比增加0.2万元，增</w:t>
      </w:r>
      <w:r>
        <w:rPr>
          <w:rFonts w:hint="eastAsia" w:ascii="仿宋" w:hAnsi="仿宋" w:eastAsia="仿宋"/>
          <w:color w:val="000000" w:themeColor="text1"/>
          <w:sz w:val="30"/>
        </w:rPr>
        <w:t>长100%，增加的主要原因是梁河县农业农村局下拨甘蔗种植发展工作经费</w:t>
      </w:r>
      <w:r>
        <w:rPr>
          <w:rFonts w:hint="eastAsia" w:ascii="仿宋" w:hAnsi="仿宋" w:eastAsia="仿宋"/>
          <w:sz w:val="30"/>
        </w:rPr>
        <w:t>0.2万元。</w:t>
      </w:r>
    </w:p>
    <w:p>
      <w:pPr>
        <w:spacing w:line="600" w:lineRule="exact"/>
        <w:ind w:firstLine="600"/>
        <w:jc w:val="left"/>
        <w:rPr>
          <w:rFonts w:ascii="Times New Roman" w:hAnsi="Times New Roman" w:eastAsia="Times New Roman"/>
          <w:sz w:val="30"/>
        </w:rPr>
      </w:pPr>
      <w:r>
        <w:rPr>
          <w:rFonts w:hint="eastAsia" w:ascii="黑体" w:hAnsi="黑体" w:eastAsia="黑体"/>
          <w:sz w:val="30"/>
        </w:rPr>
        <w:t>二、支出决算情况说明</w:t>
      </w:r>
    </w:p>
    <w:p>
      <w:pPr>
        <w:spacing w:line="600" w:lineRule="exact"/>
        <w:ind w:firstLine="600"/>
        <w:rPr>
          <w:rFonts w:ascii="仿宋" w:hAnsi="仿宋" w:eastAsia="仿宋"/>
          <w:kern w:val="0"/>
          <w:sz w:val="30"/>
        </w:rPr>
      </w:pPr>
      <w:r>
        <w:rPr>
          <w:rFonts w:hint="eastAsia" w:ascii="仿宋" w:hAnsi="仿宋" w:eastAsia="仿宋"/>
          <w:sz w:val="30"/>
        </w:rPr>
        <w:t>德宏州梁河县茶叶技术推广站2019年度支出合计162.07万元。其中：</w:t>
      </w:r>
      <w:r>
        <w:rPr>
          <w:rFonts w:hint="eastAsia" w:ascii="仿宋" w:hAnsi="仿宋" w:eastAsia="仿宋"/>
          <w:kern w:val="0"/>
          <w:sz w:val="30"/>
        </w:rPr>
        <w:t>基本支出</w:t>
      </w:r>
      <w:r>
        <w:rPr>
          <w:rFonts w:hint="eastAsia" w:ascii="仿宋" w:hAnsi="仿宋" w:eastAsia="仿宋"/>
          <w:sz w:val="30"/>
        </w:rPr>
        <w:t>160.29万</w:t>
      </w:r>
      <w:r>
        <w:rPr>
          <w:rFonts w:hint="eastAsia" w:ascii="仿宋" w:hAnsi="仿宋" w:eastAsia="仿宋"/>
          <w:kern w:val="0"/>
          <w:sz w:val="30"/>
        </w:rPr>
        <w:t>元，占总支出的</w:t>
      </w:r>
      <w:r>
        <w:rPr>
          <w:rFonts w:hint="eastAsia" w:ascii="仿宋" w:hAnsi="仿宋" w:eastAsia="仿宋"/>
          <w:sz w:val="30"/>
        </w:rPr>
        <w:t>98.9%</w:t>
      </w:r>
      <w:r>
        <w:rPr>
          <w:rFonts w:hint="eastAsia" w:ascii="仿宋" w:hAnsi="仿宋" w:eastAsia="仿宋"/>
          <w:kern w:val="0"/>
          <w:sz w:val="30"/>
        </w:rPr>
        <w:t>；项目支出</w:t>
      </w:r>
      <w:r>
        <w:rPr>
          <w:rFonts w:hint="eastAsia" w:ascii="仿宋" w:hAnsi="仿宋" w:eastAsia="仿宋"/>
          <w:sz w:val="30"/>
        </w:rPr>
        <w:t>1.77万</w:t>
      </w:r>
      <w:r>
        <w:rPr>
          <w:rFonts w:hint="eastAsia" w:ascii="仿宋" w:hAnsi="仿宋" w:eastAsia="仿宋"/>
          <w:kern w:val="0"/>
          <w:sz w:val="30"/>
        </w:rPr>
        <w:t>元，占总支出的</w:t>
      </w:r>
      <w:r>
        <w:rPr>
          <w:rFonts w:hint="eastAsia" w:ascii="仿宋" w:hAnsi="仿宋" w:eastAsia="仿宋"/>
          <w:sz w:val="30"/>
        </w:rPr>
        <w:t>1.1%</w:t>
      </w:r>
      <w:r>
        <w:rPr>
          <w:rFonts w:hint="eastAsia" w:ascii="仿宋" w:hAnsi="仿宋" w:eastAsia="仿宋"/>
          <w:kern w:val="0"/>
          <w:sz w:val="30"/>
        </w:rPr>
        <w:t>；上缴上级支出、经营支出、对附属单位补助支出共</w:t>
      </w:r>
      <w:r>
        <w:rPr>
          <w:rFonts w:hint="eastAsia" w:ascii="仿宋" w:hAnsi="仿宋" w:eastAsia="仿宋"/>
          <w:sz w:val="30"/>
        </w:rPr>
        <w:t>0万</w:t>
      </w:r>
      <w:r>
        <w:rPr>
          <w:rFonts w:hint="eastAsia" w:ascii="仿宋" w:hAnsi="仿宋" w:eastAsia="仿宋"/>
          <w:kern w:val="0"/>
          <w:sz w:val="30"/>
        </w:rPr>
        <w:t>元，占总支出的</w:t>
      </w:r>
      <w:r>
        <w:rPr>
          <w:rFonts w:hint="eastAsia" w:ascii="仿宋" w:hAnsi="仿宋" w:eastAsia="仿宋"/>
          <w:sz w:val="30"/>
        </w:rPr>
        <w:t>0%</w:t>
      </w:r>
      <w:r>
        <w:rPr>
          <w:rFonts w:hint="eastAsia" w:ascii="仿宋" w:hAnsi="仿宋" w:eastAsia="仿宋"/>
          <w:kern w:val="0"/>
          <w:sz w:val="30"/>
        </w:rPr>
        <w:t>。</w:t>
      </w:r>
    </w:p>
    <w:p>
      <w:pPr>
        <w:snapToGrid w:val="0"/>
        <w:spacing w:line="360" w:lineRule="auto"/>
        <w:ind w:firstLine="600" w:firstLineChars="200"/>
        <w:rPr>
          <w:rFonts w:ascii="仿宋" w:hAnsi="仿宋" w:eastAsia="仿宋" w:cs="仿宋"/>
          <w:sz w:val="30"/>
          <w:szCs w:val="30"/>
        </w:rPr>
      </w:pPr>
      <w:r>
        <w:rPr>
          <w:rFonts w:hint="eastAsia" w:ascii="仿宋" w:hAnsi="仿宋" w:eastAsia="仿宋"/>
          <w:color w:val="000000" w:themeColor="text1"/>
          <w:sz w:val="30"/>
        </w:rPr>
        <w:t>与上年169.12万元对比，减少7.05万元，减少了4.17%。其中：基本支出与上年169.12万元对比，减少8.83万元，减少了5.22%；项目支出与上年0万元对比，增加1.77万元，增加了100%：主要原因是</w:t>
      </w:r>
      <w:r>
        <w:rPr>
          <w:rFonts w:hint="eastAsia" w:ascii="仿宋" w:hAnsi="仿宋" w:eastAsia="仿宋" w:cs="仿宋"/>
          <w:sz w:val="30"/>
          <w:szCs w:val="30"/>
        </w:rPr>
        <w:t>年初据《梁河县审计局关于县茶技站2018年度预算执行审计调查有关问题整改的通知》作了会计差错更正：将2018年度省质监局及州工商局分别给的地标制定奖励金及地理标志商标政府奖励金结余共37196.52元从“其他应付款”调为“非财政补助结转-年初余额调整”，从而导致相关支出增加。</w:t>
      </w:r>
    </w:p>
    <w:p>
      <w:pPr>
        <w:spacing w:line="600" w:lineRule="exact"/>
        <w:ind w:firstLine="600"/>
        <w:jc w:val="left"/>
        <w:rPr>
          <w:rFonts w:ascii="Times New Roman" w:hAnsi="Times New Roman" w:eastAsia="Times New Roman"/>
          <w:color w:val="000000" w:themeColor="text1"/>
          <w:sz w:val="30"/>
        </w:rPr>
      </w:pPr>
      <w:r>
        <w:rPr>
          <w:rFonts w:hint="eastAsia" w:ascii="楷体" w:hAnsi="楷体" w:eastAsia="楷体"/>
          <w:color w:val="000000" w:themeColor="text1"/>
          <w:sz w:val="30"/>
        </w:rPr>
        <w:t>（一）基本支出情况</w:t>
      </w:r>
    </w:p>
    <w:p>
      <w:pPr>
        <w:spacing w:line="600" w:lineRule="exact"/>
        <w:ind w:firstLine="600"/>
        <w:jc w:val="left"/>
        <w:rPr>
          <w:rFonts w:ascii="仿宋" w:hAnsi="仿宋" w:eastAsia="仿宋"/>
          <w:sz w:val="30"/>
        </w:rPr>
      </w:pPr>
      <w:r>
        <w:rPr>
          <w:rFonts w:hint="eastAsia" w:ascii="仿宋" w:hAnsi="仿宋" w:eastAsia="仿宋"/>
          <w:sz w:val="30"/>
        </w:rPr>
        <w:t>2019年度用于保障德宏州梁河县茶叶技术推广站正常运转的日常支出160.29万元。</w:t>
      </w:r>
    </w:p>
    <w:p>
      <w:pPr>
        <w:snapToGrid w:val="0"/>
        <w:spacing w:line="360" w:lineRule="auto"/>
        <w:ind w:firstLine="600" w:firstLineChars="200"/>
        <w:rPr>
          <w:rFonts w:ascii="仿宋" w:hAnsi="仿宋" w:eastAsia="仿宋"/>
          <w:color w:val="000000"/>
          <w:sz w:val="30"/>
        </w:rPr>
      </w:pPr>
      <w:r>
        <w:rPr>
          <w:rFonts w:hint="eastAsia" w:ascii="仿宋" w:hAnsi="仿宋" w:eastAsia="仿宋"/>
          <w:color w:val="000000" w:themeColor="text1"/>
          <w:sz w:val="30"/>
        </w:rPr>
        <w:t>基本支出与上年169.12万元对比，减少8.83万元，减少了5.2%；减少的主要原因为</w:t>
      </w:r>
      <w:r>
        <w:rPr>
          <w:rFonts w:hint="eastAsia" w:ascii="仿宋" w:hAnsi="仿宋" w:eastAsia="仿宋" w:cs="仿宋"/>
          <w:sz w:val="30"/>
          <w:szCs w:val="30"/>
        </w:rPr>
        <w:t>2019年在职人数较2018年少1人且退休费由养老办发放。</w:t>
      </w:r>
      <w:r>
        <w:rPr>
          <w:rFonts w:hint="eastAsia" w:ascii="仿宋" w:hAnsi="仿宋" w:eastAsia="仿宋"/>
          <w:sz w:val="30"/>
        </w:rPr>
        <w:t>包括基本工资、津贴补贴等人员经费支出占基本支出的96.43%；办公费、印刷费、水电费、办公设备购置等日常公用经费占基本支出的3.57</w:t>
      </w:r>
      <w:r>
        <w:rPr>
          <w:rFonts w:hint="eastAsia" w:ascii="仿宋" w:hAnsi="仿宋" w:eastAsia="仿宋"/>
          <w:color w:val="000000"/>
          <w:sz w:val="30"/>
        </w:rPr>
        <w:t>%。</w:t>
      </w:r>
    </w:p>
    <w:p>
      <w:pPr>
        <w:spacing w:line="600" w:lineRule="exact"/>
        <w:ind w:firstLine="600"/>
        <w:jc w:val="left"/>
        <w:rPr>
          <w:rFonts w:ascii="仿宋" w:hAnsi="仿宋" w:eastAsia="仿宋"/>
          <w:sz w:val="30"/>
        </w:rPr>
      </w:pPr>
      <w:r>
        <w:rPr>
          <w:rFonts w:hint="eastAsia" w:ascii="仿宋" w:hAnsi="仿宋" w:eastAsia="仿宋"/>
          <w:sz w:val="30"/>
        </w:rPr>
        <w:t>（二）项目支出情况</w:t>
      </w:r>
    </w:p>
    <w:p>
      <w:pPr>
        <w:spacing w:line="600" w:lineRule="exact"/>
        <w:ind w:firstLine="600"/>
        <w:jc w:val="left"/>
        <w:rPr>
          <w:rFonts w:ascii="仿宋" w:hAnsi="仿宋" w:eastAsia="仿宋" w:cs="仿宋"/>
          <w:color w:val="000000" w:themeColor="text1"/>
          <w:sz w:val="30"/>
          <w:szCs w:val="30"/>
        </w:rPr>
      </w:pPr>
      <w:r>
        <w:rPr>
          <w:rFonts w:hint="eastAsia" w:ascii="仿宋" w:hAnsi="仿宋" w:eastAsia="仿宋"/>
          <w:color w:val="000000" w:themeColor="text1"/>
          <w:sz w:val="30"/>
        </w:rPr>
        <w:t xml:space="preserve"> </w:t>
      </w:r>
      <w:r>
        <w:rPr>
          <w:rFonts w:hint="eastAsia" w:ascii="仿宋" w:hAnsi="仿宋" w:eastAsia="仿宋" w:cs="仿宋"/>
          <w:color w:val="000000" w:themeColor="text1"/>
          <w:sz w:val="30"/>
          <w:szCs w:val="30"/>
        </w:rPr>
        <w:t>“财政补助项目支出”0万元，同上年一样。</w:t>
      </w:r>
    </w:p>
    <w:p>
      <w:pPr>
        <w:spacing w:line="600" w:lineRule="exact"/>
        <w:ind w:firstLine="600"/>
        <w:jc w:val="left"/>
        <w:rPr>
          <w:rFonts w:ascii="Times New Roman" w:hAnsi="Times New Roman" w:eastAsia="Times New Roman"/>
          <w:sz w:val="30"/>
        </w:rPr>
      </w:pPr>
      <w:r>
        <w:rPr>
          <w:rFonts w:hint="eastAsia" w:ascii="黑体" w:hAnsi="黑体" w:eastAsia="黑体"/>
          <w:sz w:val="30"/>
        </w:rPr>
        <w:t>三、一般公共预算财政拨款支出决算情况说明</w:t>
      </w:r>
    </w:p>
    <w:p>
      <w:pPr>
        <w:spacing w:line="600" w:lineRule="exact"/>
        <w:ind w:firstLine="600"/>
        <w:jc w:val="left"/>
        <w:rPr>
          <w:rFonts w:ascii="Times New Roman" w:hAnsi="Times New Roman" w:eastAsia="Times New Roman"/>
          <w:sz w:val="30"/>
        </w:rPr>
      </w:pPr>
      <w:r>
        <w:rPr>
          <w:rFonts w:hint="eastAsia" w:ascii="楷体" w:hAnsi="楷体" w:eastAsia="楷体"/>
          <w:sz w:val="30"/>
        </w:rPr>
        <w:t>（一）一般公共预算财政拨款支出决算总体情况</w:t>
      </w:r>
    </w:p>
    <w:p>
      <w:pPr>
        <w:spacing w:line="600" w:lineRule="exact"/>
        <w:ind w:firstLine="600"/>
        <w:jc w:val="left"/>
        <w:rPr>
          <w:rFonts w:ascii="仿宋" w:hAnsi="仿宋" w:eastAsia="仿宋"/>
          <w:kern w:val="0"/>
          <w:sz w:val="30"/>
        </w:rPr>
      </w:pPr>
      <w:r>
        <w:rPr>
          <w:rFonts w:hint="eastAsia" w:ascii="仿宋" w:hAnsi="仿宋" w:eastAsia="仿宋"/>
          <w:sz w:val="30"/>
        </w:rPr>
        <w:t>德宏州梁河县茶技站2019年度一般公共预算财政拨款支出</w:t>
      </w:r>
      <w:r>
        <w:rPr>
          <w:rFonts w:hint="eastAsia" w:ascii="仿宋" w:hAnsi="仿宋" w:eastAsia="仿宋"/>
          <w:kern w:val="0"/>
          <w:sz w:val="30"/>
        </w:rPr>
        <w:t>160.09万元</w:t>
      </w:r>
      <w:r>
        <w:rPr>
          <w:rFonts w:ascii="仿宋" w:hAnsi="仿宋" w:eastAsia="仿宋"/>
          <w:kern w:val="0"/>
          <w:sz w:val="30"/>
        </w:rPr>
        <w:t>,</w:t>
      </w:r>
      <w:r>
        <w:rPr>
          <w:rFonts w:hint="eastAsia" w:ascii="仿宋" w:hAnsi="仿宋" w:eastAsia="仿宋"/>
          <w:kern w:val="0"/>
          <w:sz w:val="30"/>
        </w:rPr>
        <w:t>占本年支出合计的</w:t>
      </w:r>
      <w:r>
        <w:rPr>
          <w:rFonts w:hint="eastAsia" w:ascii="仿宋" w:hAnsi="仿宋" w:eastAsia="仿宋"/>
          <w:sz w:val="30"/>
        </w:rPr>
        <w:t>98.78</w:t>
      </w:r>
      <w:r>
        <w:rPr>
          <w:rFonts w:hint="eastAsia" w:ascii="仿宋" w:hAnsi="仿宋" w:eastAsia="仿宋"/>
          <w:color w:val="000000" w:themeColor="text1"/>
          <w:sz w:val="30"/>
        </w:rPr>
        <w:t>%</w:t>
      </w:r>
      <w:r>
        <w:rPr>
          <w:rFonts w:hint="eastAsia" w:ascii="仿宋" w:hAnsi="仿宋" w:eastAsia="仿宋"/>
          <w:color w:val="000000" w:themeColor="text1"/>
          <w:kern w:val="0"/>
          <w:sz w:val="30"/>
        </w:rPr>
        <w:t>。与上年169.12万元对比减少9.03万元，减少的主要原因是</w:t>
      </w:r>
      <w:r>
        <w:rPr>
          <w:rFonts w:hint="eastAsia" w:ascii="仿宋" w:hAnsi="仿宋" w:eastAsia="仿宋" w:cs="宋体"/>
          <w:sz w:val="30"/>
          <w:szCs w:val="30"/>
        </w:rPr>
        <w:t>2019年在职人数较2018年少1人且退休费由社保发放及养老保险单位缴费比例由20%下调为16%.</w:t>
      </w:r>
      <w:r>
        <w:rPr>
          <w:rFonts w:hint="eastAsia" w:ascii="仿宋" w:hAnsi="仿宋" w:eastAsia="仿宋"/>
          <w:sz w:val="30"/>
        </w:rPr>
        <w:t>（二）一般公共预算财政拨款支出决算具体情况</w:t>
      </w:r>
    </w:p>
    <w:p>
      <w:pPr>
        <w:spacing w:line="600" w:lineRule="exact"/>
        <w:ind w:firstLine="600"/>
        <w:jc w:val="left"/>
        <w:rPr>
          <w:rFonts w:ascii="仿宋" w:hAnsi="仿宋" w:eastAsia="仿宋"/>
          <w:color w:val="000000" w:themeColor="text1"/>
          <w:kern w:val="0"/>
          <w:sz w:val="30"/>
        </w:rPr>
      </w:pPr>
      <w:r>
        <w:rPr>
          <w:rFonts w:hint="eastAsia" w:ascii="仿宋" w:hAnsi="仿宋" w:eastAsia="仿宋"/>
          <w:color w:val="000000" w:themeColor="text1"/>
          <w:kern w:val="0"/>
          <w:sz w:val="30"/>
        </w:rPr>
        <w:t xml:space="preserve">  1.一般公共服务（类）支出0万元，占一般公共预算财政拨款总支出的0%。</w:t>
      </w:r>
    </w:p>
    <w:p>
      <w:pPr>
        <w:spacing w:line="600" w:lineRule="exact"/>
        <w:ind w:firstLine="900" w:firstLineChars="300"/>
        <w:jc w:val="left"/>
        <w:rPr>
          <w:rFonts w:ascii="仿宋" w:hAnsi="仿宋" w:eastAsia="仿宋"/>
          <w:color w:val="FF0000"/>
          <w:kern w:val="0"/>
          <w:sz w:val="30"/>
        </w:rPr>
      </w:pPr>
      <w:r>
        <w:rPr>
          <w:rFonts w:hint="eastAsia" w:ascii="仿宋" w:hAnsi="仿宋" w:eastAsia="仿宋"/>
          <w:sz w:val="30"/>
        </w:rPr>
        <w:t>2.外交（类）支出0万元，占一般公共预算财政拨款总支出的0%。</w:t>
      </w:r>
    </w:p>
    <w:p>
      <w:pPr>
        <w:spacing w:line="600" w:lineRule="exact"/>
        <w:ind w:firstLine="600"/>
        <w:jc w:val="left"/>
        <w:rPr>
          <w:rFonts w:ascii="仿宋" w:hAnsi="仿宋" w:eastAsia="仿宋"/>
          <w:color w:val="FF0000"/>
          <w:kern w:val="0"/>
          <w:sz w:val="30"/>
        </w:rPr>
      </w:pPr>
      <w:r>
        <w:rPr>
          <w:rFonts w:hint="eastAsia" w:ascii="仿宋" w:hAnsi="仿宋" w:eastAsia="仿宋"/>
          <w:kern w:val="0"/>
          <w:sz w:val="30"/>
        </w:rPr>
        <w:t xml:space="preserve">  3.国防（类）支出0万元，占一般公共预算财政拨款总支出的0%</w:t>
      </w:r>
      <w:r>
        <w:rPr>
          <w:rFonts w:hint="eastAsia" w:ascii="仿宋" w:hAnsi="仿宋" w:eastAsia="仿宋"/>
          <w:sz w:val="30"/>
        </w:rPr>
        <w:t>。</w:t>
      </w:r>
    </w:p>
    <w:p>
      <w:pPr>
        <w:spacing w:line="600" w:lineRule="exact"/>
        <w:ind w:firstLine="600"/>
        <w:jc w:val="left"/>
        <w:rPr>
          <w:rFonts w:ascii="仿宋" w:hAnsi="仿宋" w:eastAsia="仿宋"/>
          <w:color w:val="FF0000"/>
          <w:kern w:val="0"/>
          <w:sz w:val="30"/>
        </w:rPr>
      </w:pPr>
      <w:r>
        <w:rPr>
          <w:rFonts w:hint="eastAsia" w:ascii="仿宋" w:hAnsi="仿宋" w:eastAsia="仿宋"/>
          <w:kern w:val="0"/>
          <w:sz w:val="30"/>
        </w:rPr>
        <w:t xml:space="preserve">  4.公共安全（类）支出0万元，占一般公共预算财政拨款总支出的0%。</w:t>
      </w:r>
    </w:p>
    <w:p>
      <w:pPr>
        <w:spacing w:line="600" w:lineRule="exact"/>
        <w:ind w:firstLine="600"/>
        <w:jc w:val="left"/>
        <w:rPr>
          <w:rFonts w:ascii="仿宋" w:hAnsi="仿宋" w:eastAsia="仿宋"/>
          <w:color w:val="FF0000"/>
          <w:kern w:val="0"/>
          <w:sz w:val="30"/>
        </w:rPr>
      </w:pPr>
      <w:r>
        <w:rPr>
          <w:rFonts w:hint="eastAsia" w:ascii="仿宋" w:hAnsi="仿宋" w:eastAsia="仿宋"/>
          <w:kern w:val="0"/>
          <w:sz w:val="30"/>
        </w:rPr>
        <w:t xml:space="preserve">  5.教育（类）支出0万元，占一般公共预算财政拨款总支出的0%。</w:t>
      </w:r>
    </w:p>
    <w:p>
      <w:pPr>
        <w:spacing w:line="600" w:lineRule="exact"/>
        <w:ind w:firstLine="600"/>
        <w:jc w:val="left"/>
        <w:rPr>
          <w:rFonts w:ascii="仿宋" w:hAnsi="仿宋" w:eastAsia="仿宋"/>
          <w:color w:val="000000" w:themeColor="text1"/>
          <w:kern w:val="0"/>
          <w:sz w:val="30"/>
        </w:rPr>
      </w:pPr>
      <w:r>
        <w:rPr>
          <w:rFonts w:hint="eastAsia" w:ascii="仿宋" w:hAnsi="仿宋" w:eastAsia="仿宋"/>
          <w:kern w:val="0"/>
          <w:sz w:val="30"/>
        </w:rPr>
        <w:t xml:space="preserve">  6.科学技术（类）支出0万元，占一般公共预算财政拨款总支出的0%。</w:t>
      </w:r>
    </w:p>
    <w:p>
      <w:pPr>
        <w:spacing w:line="600" w:lineRule="exact"/>
        <w:ind w:firstLine="600"/>
        <w:jc w:val="left"/>
        <w:rPr>
          <w:rFonts w:ascii="仿宋" w:hAnsi="仿宋" w:eastAsia="仿宋"/>
          <w:color w:val="FF0000"/>
          <w:kern w:val="0"/>
          <w:sz w:val="30"/>
        </w:rPr>
      </w:pPr>
      <w:r>
        <w:rPr>
          <w:rFonts w:hint="eastAsia" w:ascii="仿宋" w:hAnsi="仿宋" w:eastAsia="仿宋"/>
          <w:kern w:val="0"/>
          <w:sz w:val="30"/>
        </w:rPr>
        <w:t xml:space="preserve">  7.文化旅游体育与传媒（类）支出0万元，占一般公共预算财政拨款总支出的0</w:t>
      </w:r>
      <w:r>
        <w:rPr>
          <w:rFonts w:hint="eastAsia" w:ascii="仿宋" w:hAnsi="仿宋" w:eastAsia="仿宋"/>
          <w:color w:val="000000" w:themeColor="text1"/>
          <w:kern w:val="0"/>
          <w:sz w:val="30"/>
        </w:rPr>
        <w:t>%。0</w:t>
      </w:r>
    </w:p>
    <w:p>
      <w:pPr>
        <w:spacing w:line="600" w:lineRule="exact"/>
        <w:ind w:firstLine="900" w:firstLineChars="300"/>
        <w:jc w:val="left"/>
        <w:rPr>
          <w:rFonts w:ascii="Times New Roman" w:hAnsi="Times New Roman" w:eastAsia="Times New Roman"/>
          <w:color w:val="FF0000"/>
          <w:kern w:val="0"/>
          <w:sz w:val="30"/>
        </w:rPr>
      </w:pPr>
      <w:r>
        <w:rPr>
          <w:rFonts w:hint="eastAsia" w:ascii="仿宋" w:hAnsi="仿宋" w:eastAsia="仿宋"/>
          <w:kern w:val="0"/>
          <w:sz w:val="30"/>
        </w:rPr>
        <w:t>8.社会保障和就业（类）支出16.65万元，占一般公共预算财政拨款总支出的10.4%。</w:t>
      </w:r>
      <w:r>
        <w:rPr>
          <w:rFonts w:hint="eastAsia" w:ascii="仿宋" w:hAnsi="仿宋" w:eastAsia="仿宋"/>
          <w:color w:val="000000" w:themeColor="text1"/>
          <w:kern w:val="0"/>
          <w:sz w:val="30"/>
        </w:rPr>
        <w:t>主要用于</w:t>
      </w:r>
      <w:r>
        <w:rPr>
          <w:rFonts w:hint="eastAsia" w:ascii="仿宋" w:hAnsi="仿宋" w:eastAsia="仿宋"/>
          <w:color w:val="000000" w:themeColor="text1"/>
          <w:sz w:val="30"/>
        </w:rPr>
        <w:t>职工养老保险、职业年金等开支</w:t>
      </w:r>
      <w:r>
        <w:rPr>
          <w:rFonts w:hint="eastAsia" w:ascii="仿宋" w:hAnsi="仿宋" w:eastAsia="仿宋"/>
          <w:color w:val="000000" w:themeColor="text1"/>
          <w:kern w:val="0"/>
          <w:sz w:val="30"/>
        </w:rPr>
        <w:t>；</w:t>
      </w:r>
    </w:p>
    <w:p>
      <w:pPr>
        <w:spacing w:line="600" w:lineRule="exact"/>
        <w:ind w:firstLine="600"/>
        <w:jc w:val="left"/>
        <w:rPr>
          <w:rFonts w:ascii="仿宋" w:hAnsi="仿宋" w:eastAsia="仿宋"/>
          <w:kern w:val="0"/>
          <w:sz w:val="30"/>
        </w:rPr>
      </w:pPr>
      <w:r>
        <w:rPr>
          <w:rFonts w:hint="eastAsia" w:ascii="仿宋" w:hAnsi="仿宋" w:eastAsia="仿宋"/>
          <w:kern w:val="0"/>
          <w:sz w:val="30"/>
        </w:rPr>
        <w:t xml:space="preserve"> 9.卫生健康（类）支出0万元，占一般公共预算财政拨款总支出的0%。</w:t>
      </w:r>
    </w:p>
    <w:p>
      <w:pPr>
        <w:spacing w:line="600" w:lineRule="exact"/>
        <w:ind w:firstLine="600"/>
        <w:jc w:val="left"/>
        <w:rPr>
          <w:rFonts w:ascii="Times New Roman" w:hAnsi="Times New Roman" w:eastAsia="Times New Roman"/>
          <w:color w:val="FF0000"/>
          <w:kern w:val="0"/>
          <w:sz w:val="30"/>
        </w:rPr>
      </w:pPr>
      <w:r>
        <w:rPr>
          <w:rFonts w:hint="eastAsia" w:ascii="仿宋" w:hAnsi="仿宋" w:eastAsia="仿宋"/>
          <w:color w:val="000000" w:themeColor="text1"/>
          <w:kern w:val="0"/>
          <w:sz w:val="30"/>
        </w:rPr>
        <w:t xml:space="preserve"> </w:t>
      </w:r>
      <w:r>
        <w:rPr>
          <w:rFonts w:hint="eastAsia" w:ascii="仿宋" w:hAnsi="仿宋" w:eastAsia="仿宋"/>
          <w:sz w:val="30"/>
        </w:rPr>
        <w:t>10.节能环保（类）支出0万元，占一般公共预算财政拨款总支出的0%。</w:t>
      </w:r>
    </w:p>
    <w:p>
      <w:pPr>
        <w:spacing w:line="600" w:lineRule="exact"/>
        <w:ind w:firstLine="600"/>
        <w:jc w:val="left"/>
        <w:rPr>
          <w:rFonts w:ascii="仿宋" w:hAnsi="仿宋" w:eastAsia="仿宋"/>
          <w:kern w:val="0"/>
          <w:sz w:val="30"/>
        </w:rPr>
      </w:pPr>
      <w:r>
        <w:rPr>
          <w:rFonts w:hint="eastAsia" w:ascii="仿宋" w:hAnsi="仿宋" w:eastAsia="仿宋"/>
          <w:kern w:val="0"/>
          <w:sz w:val="30"/>
        </w:rPr>
        <w:t xml:space="preserve"> 11.城乡社区（类）支出0万元，占一般公共预算财政拨款总支出的0%。</w:t>
      </w:r>
    </w:p>
    <w:p>
      <w:pPr>
        <w:spacing w:line="600" w:lineRule="exact"/>
        <w:ind w:firstLine="600"/>
        <w:jc w:val="left"/>
        <w:rPr>
          <w:rFonts w:ascii="仿宋" w:hAnsi="仿宋" w:eastAsia="仿宋"/>
          <w:color w:val="000000" w:themeColor="text1"/>
          <w:kern w:val="0"/>
          <w:sz w:val="30"/>
        </w:rPr>
      </w:pPr>
      <w:r>
        <w:rPr>
          <w:rFonts w:hint="eastAsia" w:ascii="仿宋" w:hAnsi="仿宋" w:eastAsia="仿宋"/>
          <w:color w:val="000000" w:themeColor="text1"/>
          <w:kern w:val="0"/>
          <w:sz w:val="30"/>
        </w:rPr>
        <w:t>12.农林水（类）支出133.06万元，占一般公共预算财政拨款总支出的83.12%。主要用于</w:t>
      </w:r>
      <w:r>
        <w:rPr>
          <w:rFonts w:hint="eastAsia" w:ascii="仿宋" w:hAnsi="仿宋" w:eastAsia="仿宋"/>
          <w:color w:val="000000" w:themeColor="text1"/>
          <w:sz w:val="30"/>
        </w:rPr>
        <w:t>茶技站人员工资福利及日常工作开展资金开支等</w:t>
      </w:r>
      <w:r>
        <w:rPr>
          <w:rFonts w:hint="eastAsia" w:ascii="仿宋" w:hAnsi="仿宋" w:eastAsia="仿宋"/>
          <w:color w:val="000000" w:themeColor="text1"/>
          <w:kern w:val="0"/>
          <w:sz w:val="30"/>
        </w:rPr>
        <w:t>；</w:t>
      </w:r>
    </w:p>
    <w:p>
      <w:pPr>
        <w:spacing w:line="600" w:lineRule="exact"/>
        <w:ind w:firstLine="600"/>
        <w:jc w:val="left"/>
        <w:rPr>
          <w:rFonts w:ascii="Times New Roman" w:hAnsi="Times New Roman" w:eastAsia="Times New Roman"/>
          <w:color w:val="FF0000"/>
          <w:kern w:val="0"/>
          <w:sz w:val="30"/>
        </w:rPr>
      </w:pPr>
      <w:r>
        <w:rPr>
          <w:rFonts w:hint="eastAsia" w:ascii="仿宋" w:hAnsi="仿宋" w:eastAsia="仿宋"/>
          <w:sz w:val="30"/>
        </w:rPr>
        <w:t>13.交通运输（类）支出0万元，占一般公共预算财政拨款总支出的0%。</w:t>
      </w:r>
    </w:p>
    <w:p>
      <w:pPr>
        <w:spacing w:line="600" w:lineRule="exact"/>
        <w:ind w:firstLine="600" w:firstLineChars="200"/>
        <w:jc w:val="left"/>
        <w:rPr>
          <w:rFonts w:ascii="Times New Roman" w:hAnsi="Times New Roman" w:eastAsia="Times New Roman"/>
          <w:color w:val="FF0000"/>
          <w:kern w:val="0"/>
          <w:sz w:val="30"/>
        </w:rPr>
      </w:pPr>
      <w:r>
        <w:rPr>
          <w:rFonts w:hint="eastAsia" w:ascii="仿宋" w:hAnsi="仿宋" w:eastAsia="仿宋"/>
          <w:kern w:val="0"/>
          <w:sz w:val="30"/>
        </w:rPr>
        <w:t>14.资源勘探信息等（类）支出0万元，占一般公共预算财政拨款总支出的0%。</w:t>
      </w:r>
    </w:p>
    <w:p>
      <w:pPr>
        <w:spacing w:line="600" w:lineRule="exact"/>
        <w:ind w:firstLine="600"/>
        <w:jc w:val="left"/>
        <w:rPr>
          <w:rFonts w:ascii="仿宋" w:hAnsi="仿宋" w:eastAsia="仿宋"/>
          <w:kern w:val="0"/>
          <w:sz w:val="30"/>
        </w:rPr>
      </w:pPr>
      <w:r>
        <w:rPr>
          <w:rFonts w:hint="eastAsia" w:ascii="仿宋" w:hAnsi="仿宋" w:eastAsia="仿宋"/>
          <w:kern w:val="0"/>
          <w:sz w:val="30"/>
        </w:rPr>
        <w:t>15.商业服务业等（类）支出0万元，占一般公共预算财政拨款总支出的0%。</w:t>
      </w:r>
    </w:p>
    <w:p>
      <w:pPr>
        <w:spacing w:line="600" w:lineRule="exact"/>
        <w:ind w:firstLine="600"/>
        <w:jc w:val="left"/>
        <w:rPr>
          <w:rFonts w:ascii="Times New Roman" w:hAnsi="Times New Roman" w:eastAsia="Times New Roman"/>
          <w:color w:val="FF0000"/>
          <w:kern w:val="0"/>
          <w:sz w:val="30"/>
        </w:rPr>
      </w:pPr>
      <w:r>
        <w:rPr>
          <w:rFonts w:hint="eastAsia" w:ascii="仿宋" w:hAnsi="仿宋" w:eastAsia="仿宋"/>
          <w:kern w:val="0"/>
          <w:sz w:val="30"/>
        </w:rPr>
        <w:t>16.金融（类）支出0万元，占一般公共预算财政拨款总支出的0%。</w:t>
      </w:r>
    </w:p>
    <w:p>
      <w:pPr>
        <w:spacing w:line="600" w:lineRule="exact"/>
        <w:ind w:firstLine="600" w:firstLineChars="200"/>
        <w:jc w:val="left"/>
        <w:rPr>
          <w:rFonts w:ascii="Times New Roman" w:hAnsi="Times New Roman" w:eastAsia="Times New Roman"/>
          <w:color w:val="FF0000"/>
          <w:kern w:val="0"/>
          <w:sz w:val="30"/>
        </w:rPr>
      </w:pPr>
      <w:r>
        <w:rPr>
          <w:rFonts w:hint="eastAsia" w:ascii="仿宋" w:hAnsi="仿宋" w:eastAsia="仿宋"/>
          <w:kern w:val="0"/>
          <w:sz w:val="30"/>
        </w:rPr>
        <w:t>17.援助其他地区（类）支出0万元，占一般公共预算财政拨款总支出的0%。</w:t>
      </w:r>
    </w:p>
    <w:p>
      <w:pPr>
        <w:spacing w:line="600" w:lineRule="exact"/>
        <w:ind w:firstLine="600" w:firstLineChars="200"/>
        <w:jc w:val="left"/>
        <w:rPr>
          <w:rFonts w:ascii="Times New Roman" w:hAnsi="Times New Roman" w:eastAsia="Times New Roman"/>
          <w:color w:val="000000" w:themeColor="text1"/>
          <w:kern w:val="0"/>
          <w:sz w:val="30"/>
        </w:rPr>
      </w:pPr>
      <w:r>
        <w:rPr>
          <w:rFonts w:hint="eastAsia" w:ascii="仿宋" w:hAnsi="仿宋" w:eastAsia="仿宋"/>
          <w:kern w:val="0"/>
          <w:sz w:val="30"/>
        </w:rPr>
        <w:t>18.自然资源海洋气象等（类）支出0万元，占一般公共预算财政拨款总支出的0%。</w:t>
      </w:r>
    </w:p>
    <w:p>
      <w:pPr>
        <w:spacing w:line="600" w:lineRule="exact"/>
        <w:ind w:firstLine="600" w:firstLineChars="200"/>
        <w:jc w:val="left"/>
        <w:rPr>
          <w:rFonts w:ascii="仿宋" w:hAnsi="仿宋" w:eastAsia="仿宋"/>
          <w:sz w:val="30"/>
        </w:rPr>
      </w:pPr>
      <w:r>
        <w:rPr>
          <w:rFonts w:hint="eastAsia" w:ascii="仿宋" w:hAnsi="仿宋" w:eastAsia="仿宋"/>
          <w:kern w:val="0"/>
          <w:sz w:val="30"/>
        </w:rPr>
        <w:t>19.住房保障（类）支出10.38万元，占一般公共预算财政拨款总支出的</w:t>
      </w:r>
      <w:r>
        <w:rPr>
          <w:rFonts w:hint="eastAsia" w:ascii="仿宋" w:hAnsi="仿宋" w:eastAsia="仿宋"/>
          <w:color w:val="000000" w:themeColor="text1"/>
          <w:kern w:val="0"/>
          <w:sz w:val="30"/>
        </w:rPr>
        <w:t>6.48%。主要用于</w:t>
      </w:r>
      <w:r>
        <w:rPr>
          <w:rFonts w:hint="eastAsia" w:ascii="仿宋" w:hAnsi="仿宋" w:eastAsia="仿宋"/>
          <w:color w:val="000000" w:themeColor="text1"/>
          <w:sz w:val="30"/>
        </w:rPr>
        <w:t>在职员工的住房公积金单位配给部分</w:t>
      </w:r>
      <w:r>
        <w:rPr>
          <w:rFonts w:hint="eastAsia" w:ascii="仿宋" w:hAnsi="仿宋" w:eastAsia="仿宋"/>
          <w:color w:val="000000" w:themeColor="text1"/>
          <w:kern w:val="0"/>
          <w:sz w:val="30"/>
        </w:rPr>
        <w:t>；</w:t>
      </w:r>
      <w:r>
        <w:rPr>
          <w:rFonts w:hint="eastAsia" w:ascii="仿宋" w:hAnsi="仿宋" w:eastAsia="仿宋"/>
          <w:sz w:val="30"/>
        </w:rPr>
        <w:t xml:space="preserve">    </w:t>
      </w:r>
    </w:p>
    <w:p>
      <w:pPr>
        <w:spacing w:line="600" w:lineRule="exact"/>
        <w:ind w:firstLine="600" w:firstLineChars="200"/>
        <w:jc w:val="left"/>
        <w:rPr>
          <w:rFonts w:ascii="Times New Roman" w:hAnsi="Times New Roman" w:eastAsia="Times New Roman"/>
          <w:color w:val="FF0000"/>
          <w:kern w:val="0"/>
          <w:sz w:val="30"/>
        </w:rPr>
      </w:pPr>
      <w:r>
        <w:rPr>
          <w:rFonts w:hint="eastAsia" w:ascii="仿宋" w:hAnsi="仿宋" w:eastAsia="仿宋"/>
          <w:sz w:val="30"/>
        </w:rPr>
        <w:t>20.粮油物资储备（类）支出0万元，占一般公共预算财政拨款总支出的0%。</w:t>
      </w:r>
    </w:p>
    <w:p>
      <w:pPr>
        <w:spacing w:line="600" w:lineRule="exact"/>
        <w:ind w:firstLine="600"/>
        <w:jc w:val="left"/>
        <w:rPr>
          <w:rFonts w:ascii="仿宋" w:hAnsi="仿宋" w:eastAsia="仿宋"/>
          <w:kern w:val="0"/>
          <w:sz w:val="30"/>
        </w:rPr>
      </w:pPr>
      <w:r>
        <w:rPr>
          <w:rFonts w:hint="eastAsia" w:ascii="仿宋" w:hAnsi="仿宋" w:eastAsia="仿宋"/>
          <w:kern w:val="0"/>
          <w:sz w:val="30"/>
        </w:rPr>
        <w:t xml:space="preserve"> 21.灾害防治及应急管理（类）支出0万元，占一般公共预算财政拨款总支出的0%。</w:t>
      </w:r>
    </w:p>
    <w:p>
      <w:pPr>
        <w:spacing w:line="600" w:lineRule="exact"/>
        <w:ind w:firstLine="600"/>
        <w:jc w:val="left"/>
        <w:rPr>
          <w:rFonts w:ascii="Times New Roman" w:hAnsi="Times New Roman" w:eastAsia="Times New Roman"/>
          <w:color w:val="FF0000"/>
          <w:kern w:val="0"/>
          <w:sz w:val="30"/>
        </w:rPr>
      </w:pPr>
      <w:r>
        <w:rPr>
          <w:rFonts w:hint="eastAsia" w:ascii="仿宋" w:hAnsi="仿宋" w:eastAsia="仿宋"/>
          <w:sz w:val="30"/>
        </w:rPr>
        <w:t>22.其他（类）支出0万元，占一般公共预算财政拨款总支出的0%。</w:t>
      </w:r>
    </w:p>
    <w:p>
      <w:pPr>
        <w:spacing w:line="600" w:lineRule="exact"/>
        <w:ind w:firstLine="600"/>
        <w:jc w:val="left"/>
        <w:rPr>
          <w:rFonts w:ascii="Times New Roman" w:hAnsi="Times New Roman" w:eastAsia="Times New Roman"/>
          <w:color w:val="FF0000"/>
          <w:kern w:val="0"/>
          <w:sz w:val="30"/>
        </w:rPr>
      </w:pPr>
      <w:r>
        <w:rPr>
          <w:rFonts w:hint="eastAsia" w:ascii="仿宋" w:hAnsi="仿宋" w:eastAsia="仿宋"/>
          <w:kern w:val="0"/>
          <w:sz w:val="30"/>
        </w:rPr>
        <w:t>23.债务还本（类）支出0万元，占一般公共预算财政拨款总支出的0%。</w:t>
      </w:r>
    </w:p>
    <w:p>
      <w:pPr>
        <w:spacing w:line="600" w:lineRule="exact"/>
        <w:ind w:firstLine="600" w:firstLineChars="200"/>
        <w:jc w:val="left"/>
        <w:rPr>
          <w:rFonts w:ascii="Times New Roman" w:hAnsi="Times New Roman" w:eastAsia="仿宋"/>
          <w:color w:val="FF0000"/>
          <w:kern w:val="0"/>
          <w:sz w:val="30"/>
        </w:rPr>
      </w:pPr>
      <w:r>
        <w:rPr>
          <w:rFonts w:hint="eastAsia" w:ascii="仿宋" w:hAnsi="仿宋" w:eastAsia="仿宋"/>
          <w:kern w:val="0"/>
          <w:sz w:val="30"/>
        </w:rPr>
        <w:t>24.债务付息（类）支出0万元，占一般公共预算财政拨款总支出的0%。</w:t>
      </w:r>
    </w:p>
    <w:p>
      <w:pPr>
        <w:spacing w:line="600" w:lineRule="exact"/>
        <w:ind w:firstLine="600"/>
        <w:jc w:val="left"/>
        <w:rPr>
          <w:rFonts w:ascii="Times New Roman" w:hAnsi="Times New Roman" w:eastAsia="Times New Roman"/>
          <w:sz w:val="30"/>
        </w:rPr>
      </w:pPr>
      <w:r>
        <w:rPr>
          <w:rFonts w:hint="eastAsia" w:ascii="黑体" w:hAnsi="黑体" w:eastAsia="黑体"/>
          <w:sz w:val="30"/>
        </w:rPr>
        <w:t>四、一般公共预算财政拨款</w:t>
      </w:r>
      <w:r>
        <w:rPr>
          <w:rFonts w:ascii="Times New Roman" w:hAnsi="Times New Roman" w:eastAsia="Times New Roman"/>
          <w:sz w:val="30"/>
        </w:rPr>
        <w:t>“</w:t>
      </w:r>
      <w:r>
        <w:rPr>
          <w:rFonts w:hint="eastAsia" w:ascii="黑体" w:hAnsi="黑体" w:eastAsia="黑体"/>
          <w:sz w:val="30"/>
        </w:rPr>
        <w:t>三公</w:t>
      </w:r>
      <w:r>
        <w:rPr>
          <w:rFonts w:ascii="Times New Roman" w:hAnsi="Times New Roman" w:eastAsia="Times New Roman"/>
          <w:sz w:val="30"/>
        </w:rPr>
        <w:t>”</w:t>
      </w:r>
      <w:r>
        <w:rPr>
          <w:rFonts w:hint="eastAsia" w:ascii="黑体" w:hAnsi="黑体" w:eastAsia="黑体"/>
          <w:sz w:val="30"/>
        </w:rPr>
        <w:t>经费支出决算情况说明</w:t>
      </w:r>
    </w:p>
    <w:p>
      <w:pPr>
        <w:spacing w:line="600" w:lineRule="exact"/>
        <w:ind w:firstLine="600"/>
        <w:jc w:val="left"/>
        <w:rPr>
          <w:rFonts w:ascii="仿宋" w:hAnsi="仿宋" w:eastAsia="仿宋"/>
          <w:sz w:val="30"/>
        </w:rPr>
      </w:pPr>
      <w:r>
        <w:rPr>
          <w:rFonts w:hint="eastAsia" w:ascii="楷体" w:hAnsi="楷体" w:eastAsia="楷体"/>
          <w:sz w:val="30"/>
        </w:rPr>
        <w:t>(</w:t>
      </w:r>
      <w:r>
        <w:rPr>
          <w:rFonts w:hint="eastAsia" w:ascii="仿宋" w:hAnsi="仿宋" w:eastAsia="仿宋"/>
          <w:sz w:val="30"/>
        </w:rPr>
        <w:t>一) 一般公共预算财政拨款</w:t>
      </w:r>
      <w:r>
        <w:rPr>
          <w:rFonts w:ascii="仿宋" w:hAnsi="仿宋" w:eastAsia="仿宋"/>
          <w:sz w:val="30"/>
        </w:rPr>
        <w:t>“</w:t>
      </w:r>
      <w:r>
        <w:rPr>
          <w:rFonts w:hint="eastAsia" w:ascii="仿宋" w:hAnsi="仿宋" w:eastAsia="仿宋"/>
          <w:sz w:val="30"/>
        </w:rPr>
        <w:t>三公</w:t>
      </w:r>
      <w:r>
        <w:rPr>
          <w:rFonts w:ascii="仿宋" w:hAnsi="仿宋" w:eastAsia="仿宋"/>
          <w:sz w:val="30"/>
        </w:rPr>
        <w:t>”</w:t>
      </w:r>
      <w:r>
        <w:rPr>
          <w:rFonts w:hint="eastAsia" w:ascii="仿宋" w:hAnsi="仿宋" w:eastAsia="仿宋"/>
          <w:sz w:val="30"/>
        </w:rPr>
        <w:t>经费支出决算总体情况</w:t>
      </w:r>
    </w:p>
    <w:p>
      <w:pPr>
        <w:spacing w:line="600" w:lineRule="exact"/>
        <w:ind w:firstLine="600"/>
        <w:rPr>
          <w:rFonts w:ascii="仿宋" w:hAnsi="仿宋" w:eastAsia="仿宋"/>
          <w:color w:val="FF0000"/>
          <w:sz w:val="30"/>
        </w:rPr>
      </w:pPr>
      <w:r>
        <w:rPr>
          <w:rFonts w:hint="eastAsia" w:ascii="仿宋" w:hAnsi="仿宋" w:eastAsia="仿宋"/>
          <w:sz w:val="30"/>
        </w:rPr>
        <w:t>德宏州梁河县茶技站2019年度一般公共预算财政拨款</w:t>
      </w:r>
      <w:r>
        <w:rPr>
          <w:rFonts w:ascii="仿宋" w:hAnsi="仿宋" w:eastAsia="仿宋"/>
          <w:sz w:val="30"/>
        </w:rPr>
        <w:t>“</w:t>
      </w:r>
      <w:r>
        <w:rPr>
          <w:rFonts w:hint="eastAsia" w:ascii="仿宋" w:hAnsi="仿宋" w:eastAsia="仿宋"/>
          <w:sz w:val="30"/>
        </w:rPr>
        <w:t>三</w:t>
      </w:r>
      <w:r>
        <w:rPr>
          <w:rFonts w:hint="eastAsia" w:ascii="仿宋" w:hAnsi="仿宋" w:eastAsia="仿宋"/>
          <w:color w:val="000000" w:themeColor="text1"/>
          <w:sz w:val="30"/>
        </w:rPr>
        <w:t>公</w:t>
      </w:r>
      <w:r>
        <w:rPr>
          <w:rFonts w:ascii="仿宋" w:hAnsi="仿宋" w:eastAsia="仿宋"/>
          <w:color w:val="000000" w:themeColor="text1"/>
          <w:sz w:val="30"/>
        </w:rPr>
        <w:t>”</w:t>
      </w:r>
      <w:r>
        <w:rPr>
          <w:rFonts w:hint="eastAsia" w:ascii="仿宋" w:hAnsi="仿宋" w:eastAsia="仿宋"/>
          <w:color w:val="000000" w:themeColor="text1"/>
          <w:sz w:val="30"/>
        </w:rPr>
        <w:t>经费支出预算为0.5万元，支出决算为1.55万元，完成预算的310%。其中：</w:t>
      </w:r>
      <w:r>
        <w:rPr>
          <w:rFonts w:hint="eastAsia" w:ascii="仿宋" w:hAnsi="仿宋" w:eastAsia="仿宋"/>
          <w:sz w:val="30"/>
        </w:rPr>
        <w:t>因公出国（境）费支出预决算为0万元；</w:t>
      </w:r>
      <w:r>
        <w:rPr>
          <w:rFonts w:hint="eastAsia" w:ascii="仿宋" w:hAnsi="仿宋" w:eastAsia="仿宋"/>
          <w:color w:val="000000" w:themeColor="text1"/>
          <w:sz w:val="30"/>
        </w:rPr>
        <w:t>公务用车购置及运行费支出决算为1.55万元，完成预算的310%；</w:t>
      </w:r>
      <w:r>
        <w:rPr>
          <w:rFonts w:hint="eastAsia" w:ascii="仿宋" w:hAnsi="仿宋" w:eastAsia="仿宋"/>
          <w:sz w:val="30"/>
        </w:rPr>
        <w:t>公务接待费支出预决算均为0万元。</w:t>
      </w:r>
      <w:r>
        <w:rPr>
          <w:rFonts w:hint="eastAsia" w:ascii="仿宋" w:hAnsi="仿宋" w:eastAsia="仿宋"/>
          <w:color w:val="000000" w:themeColor="text1"/>
          <w:sz w:val="30"/>
        </w:rPr>
        <w:t>2019年度一般公共预算财政拨款</w:t>
      </w:r>
      <w:r>
        <w:rPr>
          <w:rFonts w:ascii="仿宋" w:hAnsi="仿宋" w:eastAsia="仿宋"/>
          <w:color w:val="000000" w:themeColor="text1"/>
          <w:sz w:val="30"/>
        </w:rPr>
        <w:t>“</w:t>
      </w:r>
      <w:r>
        <w:rPr>
          <w:rFonts w:hint="eastAsia" w:ascii="仿宋" w:hAnsi="仿宋" w:eastAsia="仿宋"/>
          <w:color w:val="000000" w:themeColor="text1"/>
          <w:sz w:val="30"/>
        </w:rPr>
        <w:t>三公</w:t>
      </w:r>
      <w:r>
        <w:rPr>
          <w:rFonts w:ascii="仿宋" w:hAnsi="仿宋" w:eastAsia="仿宋"/>
          <w:color w:val="000000" w:themeColor="text1"/>
          <w:sz w:val="30"/>
        </w:rPr>
        <w:t>”</w:t>
      </w:r>
      <w:r>
        <w:rPr>
          <w:rFonts w:hint="eastAsia" w:ascii="仿宋" w:hAnsi="仿宋" w:eastAsia="仿宋"/>
          <w:color w:val="000000" w:themeColor="text1"/>
          <w:sz w:val="30"/>
        </w:rPr>
        <w:t>经费支出决算数大于预算数。</w:t>
      </w:r>
    </w:p>
    <w:p>
      <w:pPr>
        <w:spacing w:line="600" w:lineRule="exact"/>
        <w:ind w:firstLine="600"/>
        <w:rPr>
          <w:rFonts w:ascii="仿宋" w:hAnsi="仿宋" w:eastAsia="仿宋" w:cs="仿宋"/>
          <w:color w:val="000000" w:themeColor="text1"/>
          <w:sz w:val="30"/>
          <w:szCs w:val="30"/>
        </w:rPr>
      </w:pPr>
      <w:r>
        <w:rPr>
          <w:rFonts w:hint="eastAsia" w:ascii="仿宋" w:hAnsi="仿宋" w:eastAsia="仿宋"/>
          <w:color w:val="000000" w:themeColor="text1"/>
          <w:sz w:val="30"/>
        </w:rPr>
        <w:t>2019年度一般公共预算财政拨款</w:t>
      </w:r>
      <w:r>
        <w:rPr>
          <w:rFonts w:ascii="仿宋" w:hAnsi="仿宋" w:eastAsia="仿宋"/>
          <w:color w:val="000000" w:themeColor="text1"/>
          <w:sz w:val="30"/>
        </w:rPr>
        <w:t>“</w:t>
      </w:r>
      <w:r>
        <w:rPr>
          <w:rFonts w:hint="eastAsia" w:ascii="仿宋" w:hAnsi="仿宋" w:eastAsia="仿宋"/>
          <w:color w:val="000000" w:themeColor="text1"/>
          <w:sz w:val="30"/>
        </w:rPr>
        <w:t>三公</w:t>
      </w:r>
      <w:r>
        <w:rPr>
          <w:rFonts w:ascii="仿宋" w:hAnsi="仿宋" w:eastAsia="仿宋"/>
          <w:color w:val="000000" w:themeColor="text1"/>
          <w:sz w:val="30"/>
        </w:rPr>
        <w:t>”</w:t>
      </w:r>
      <w:r>
        <w:rPr>
          <w:rFonts w:hint="eastAsia" w:ascii="仿宋" w:hAnsi="仿宋" w:eastAsia="仿宋"/>
          <w:color w:val="000000" w:themeColor="text1"/>
          <w:sz w:val="30"/>
        </w:rPr>
        <w:t>经费支出决算数1.55万元比2018年2.46万元相比减少了0.91万元，减少了37%。其中：因公出国（境）费支出决算与上年一致；公务用车购置及运行费支出决算1.55万元与上年2.14万元相比减少0.59万元，减少27.6%；公务接待费支出决算与上年0.32万元相比减少0.32万元，减少100%。2019年度一般公共预算财政拨款</w:t>
      </w:r>
      <w:r>
        <w:rPr>
          <w:rFonts w:ascii="仿宋" w:hAnsi="仿宋" w:eastAsia="仿宋"/>
          <w:color w:val="000000" w:themeColor="text1"/>
          <w:sz w:val="30"/>
        </w:rPr>
        <w:t>“</w:t>
      </w:r>
      <w:r>
        <w:rPr>
          <w:rFonts w:hint="eastAsia" w:ascii="仿宋" w:hAnsi="仿宋" w:eastAsia="仿宋"/>
          <w:color w:val="000000" w:themeColor="text1"/>
          <w:sz w:val="30"/>
        </w:rPr>
        <w:t>三公</w:t>
      </w:r>
      <w:r>
        <w:rPr>
          <w:rFonts w:ascii="仿宋" w:hAnsi="仿宋" w:eastAsia="仿宋"/>
          <w:color w:val="000000" w:themeColor="text1"/>
          <w:sz w:val="30"/>
        </w:rPr>
        <w:t>”</w:t>
      </w:r>
      <w:r>
        <w:rPr>
          <w:rFonts w:hint="eastAsia" w:ascii="仿宋" w:hAnsi="仿宋" w:eastAsia="仿宋"/>
          <w:color w:val="000000" w:themeColor="text1"/>
          <w:sz w:val="30"/>
        </w:rPr>
        <w:t>经费支出决算</w:t>
      </w:r>
      <w:r>
        <w:rPr>
          <w:rFonts w:hint="eastAsia" w:ascii="仿宋" w:hAnsi="仿宋" w:eastAsia="仿宋" w:cs="仿宋"/>
          <w:color w:val="000000" w:themeColor="text1"/>
          <w:sz w:val="30"/>
          <w:szCs w:val="30"/>
        </w:rPr>
        <w:t>超预算原因为车辆老旧损耗大导致维修成本高。且近年来县委、</w:t>
      </w:r>
      <w:r>
        <w:rPr>
          <w:rFonts w:hint="eastAsia" w:ascii="仿宋" w:hAnsi="仿宋" w:eastAsia="仿宋" w:cs="仿宋"/>
          <w:color w:val="000000" w:themeColor="text1"/>
          <w:sz w:val="30"/>
          <w:szCs w:val="30"/>
          <w:lang w:eastAsia="zh-CN"/>
        </w:rPr>
        <w:t>县</w:t>
      </w:r>
      <w:r>
        <w:rPr>
          <w:rFonts w:hint="eastAsia" w:ascii="仿宋" w:hAnsi="仿宋" w:eastAsia="仿宋" w:cs="仿宋"/>
          <w:color w:val="000000" w:themeColor="text1"/>
          <w:sz w:val="30"/>
          <w:szCs w:val="30"/>
        </w:rPr>
        <w:t>政府大力打造回龙茶品牌及其开展茶叶“一县一业”产业扶贫工作,下乡较多导致相关费用增加。</w:t>
      </w:r>
    </w:p>
    <w:p>
      <w:pPr>
        <w:spacing w:line="600" w:lineRule="exact"/>
        <w:ind w:firstLine="600"/>
        <w:jc w:val="left"/>
        <w:rPr>
          <w:rFonts w:ascii="仿宋" w:hAnsi="仿宋" w:eastAsia="仿宋"/>
          <w:sz w:val="30"/>
        </w:rPr>
      </w:pPr>
      <w:r>
        <w:rPr>
          <w:rFonts w:hint="eastAsia" w:ascii="仿宋" w:hAnsi="仿宋" w:eastAsia="仿宋"/>
          <w:sz w:val="30"/>
        </w:rPr>
        <w:t>(二) 一般公共预算财政拨款</w:t>
      </w:r>
      <w:r>
        <w:rPr>
          <w:rFonts w:ascii="仿宋" w:hAnsi="仿宋" w:eastAsia="仿宋"/>
          <w:sz w:val="30"/>
        </w:rPr>
        <w:t>“</w:t>
      </w:r>
      <w:r>
        <w:rPr>
          <w:rFonts w:hint="eastAsia" w:ascii="仿宋" w:hAnsi="仿宋" w:eastAsia="仿宋"/>
          <w:sz w:val="30"/>
        </w:rPr>
        <w:t>三公</w:t>
      </w:r>
      <w:r>
        <w:rPr>
          <w:rFonts w:ascii="仿宋" w:hAnsi="仿宋" w:eastAsia="仿宋"/>
          <w:sz w:val="30"/>
        </w:rPr>
        <w:t>”</w:t>
      </w:r>
      <w:r>
        <w:rPr>
          <w:rFonts w:hint="eastAsia" w:ascii="仿宋" w:hAnsi="仿宋" w:eastAsia="仿宋"/>
          <w:sz w:val="30"/>
        </w:rPr>
        <w:t>经费支出决算具体情况</w:t>
      </w:r>
    </w:p>
    <w:p>
      <w:pPr>
        <w:spacing w:line="600" w:lineRule="exact"/>
        <w:ind w:firstLine="600"/>
        <w:jc w:val="left"/>
        <w:rPr>
          <w:rFonts w:ascii="仿宋" w:hAnsi="仿宋" w:eastAsia="仿宋"/>
          <w:sz w:val="30"/>
        </w:rPr>
      </w:pPr>
      <w:r>
        <w:rPr>
          <w:rFonts w:hint="eastAsia" w:ascii="仿宋" w:hAnsi="仿宋" w:eastAsia="仿宋"/>
          <w:sz w:val="30"/>
        </w:rPr>
        <w:t>2019年度一般公共预算财政拨款</w:t>
      </w:r>
      <w:r>
        <w:rPr>
          <w:rFonts w:ascii="仿宋" w:hAnsi="仿宋" w:eastAsia="仿宋"/>
          <w:sz w:val="30"/>
        </w:rPr>
        <w:t>“</w:t>
      </w:r>
      <w:r>
        <w:rPr>
          <w:rFonts w:hint="eastAsia" w:ascii="仿宋" w:hAnsi="仿宋" w:eastAsia="仿宋"/>
          <w:sz w:val="30"/>
        </w:rPr>
        <w:t>三公</w:t>
      </w:r>
      <w:r>
        <w:rPr>
          <w:rFonts w:ascii="仿宋" w:hAnsi="仿宋" w:eastAsia="仿宋"/>
          <w:sz w:val="30"/>
        </w:rPr>
        <w:t>”</w:t>
      </w:r>
      <w:r>
        <w:rPr>
          <w:rFonts w:hint="eastAsia" w:ascii="仿宋" w:hAnsi="仿宋" w:eastAsia="仿宋"/>
          <w:sz w:val="30"/>
        </w:rPr>
        <w:t>经费支出决算中，因公出国（境）费支出0万元，占0%；公务用车购置及运行维护费支出1.55万元，占100%；公务接待费支出0万元。具体情况如下：</w:t>
      </w:r>
    </w:p>
    <w:p>
      <w:pPr>
        <w:spacing w:line="600" w:lineRule="exact"/>
        <w:ind w:firstLine="600"/>
        <w:rPr>
          <w:rFonts w:ascii="仿宋" w:hAnsi="仿宋" w:eastAsia="仿宋"/>
          <w:color w:val="FF0000"/>
          <w:sz w:val="30"/>
        </w:rPr>
      </w:pPr>
      <w:r>
        <w:rPr>
          <w:rFonts w:hint="eastAsia" w:ascii="仿宋" w:hAnsi="仿宋" w:eastAsia="仿宋"/>
          <w:b/>
          <w:sz w:val="30"/>
        </w:rPr>
        <w:t>1.因公出国（境）费</w:t>
      </w:r>
      <w:r>
        <w:rPr>
          <w:rFonts w:hint="eastAsia" w:ascii="仿宋" w:hAnsi="仿宋" w:eastAsia="仿宋"/>
          <w:sz w:val="30"/>
        </w:rPr>
        <w:t>支出0万元，共安排因公出国（境）团组0个，累计0人次。</w:t>
      </w:r>
    </w:p>
    <w:p>
      <w:pPr>
        <w:spacing w:line="600" w:lineRule="exact"/>
        <w:ind w:firstLine="602"/>
        <w:jc w:val="left"/>
        <w:rPr>
          <w:rFonts w:ascii="仿宋" w:hAnsi="仿宋" w:eastAsia="仿宋"/>
          <w:sz w:val="30"/>
        </w:rPr>
      </w:pPr>
      <w:r>
        <w:rPr>
          <w:rFonts w:hint="eastAsia" w:ascii="仿宋" w:hAnsi="仿宋" w:eastAsia="仿宋"/>
          <w:b/>
          <w:sz w:val="30"/>
        </w:rPr>
        <w:t>2. 公务用车购置及运行维护费</w:t>
      </w:r>
      <w:r>
        <w:rPr>
          <w:rFonts w:hint="eastAsia" w:ascii="仿宋" w:hAnsi="仿宋" w:eastAsia="仿宋"/>
          <w:sz w:val="30"/>
        </w:rPr>
        <w:t>支出1.55万元。其中：</w:t>
      </w:r>
    </w:p>
    <w:p>
      <w:pPr>
        <w:spacing w:line="600" w:lineRule="exact"/>
        <w:ind w:firstLine="600"/>
        <w:rPr>
          <w:rFonts w:ascii="仿宋" w:hAnsi="仿宋" w:eastAsia="仿宋"/>
          <w:color w:val="FF0000"/>
          <w:sz w:val="30"/>
        </w:rPr>
      </w:pPr>
      <w:r>
        <w:rPr>
          <w:rFonts w:hint="eastAsia" w:ascii="仿宋" w:hAnsi="仿宋" w:eastAsia="仿宋"/>
          <w:b/>
          <w:sz w:val="30"/>
        </w:rPr>
        <w:t>公务用车购置</w:t>
      </w:r>
      <w:r>
        <w:rPr>
          <w:rFonts w:hint="eastAsia" w:ascii="仿宋" w:hAnsi="仿宋" w:eastAsia="仿宋"/>
          <w:sz w:val="30"/>
        </w:rPr>
        <w:t>支出0万元，购置车辆0辆。</w:t>
      </w:r>
    </w:p>
    <w:p>
      <w:pPr>
        <w:spacing w:line="600" w:lineRule="exact"/>
        <w:ind w:firstLine="602"/>
        <w:jc w:val="left"/>
        <w:rPr>
          <w:rFonts w:ascii="仿宋" w:hAnsi="仿宋" w:eastAsia="仿宋"/>
          <w:sz w:val="30"/>
        </w:rPr>
      </w:pPr>
      <w:r>
        <w:rPr>
          <w:rFonts w:hint="eastAsia" w:ascii="仿宋" w:hAnsi="仿宋" w:eastAsia="仿宋"/>
          <w:b/>
          <w:sz w:val="30"/>
        </w:rPr>
        <w:t>公务用车运行维护</w:t>
      </w:r>
      <w:r>
        <w:rPr>
          <w:rFonts w:hint="eastAsia" w:ascii="仿宋" w:hAnsi="仿宋" w:eastAsia="仿宋"/>
          <w:sz w:val="30"/>
        </w:rPr>
        <w:t>支出1.55万元，开支财政拨款的公务用车保有量为1辆。主要用于（相关工作范围）所需车辆燃料费、维修费、过路过桥费、保险费等。</w:t>
      </w:r>
    </w:p>
    <w:p>
      <w:pPr>
        <w:spacing w:line="600" w:lineRule="exact"/>
        <w:ind w:firstLine="602"/>
        <w:jc w:val="left"/>
        <w:rPr>
          <w:rFonts w:ascii="仿宋" w:hAnsi="仿宋" w:eastAsia="仿宋"/>
          <w:sz w:val="30"/>
        </w:rPr>
      </w:pPr>
      <w:r>
        <w:rPr>
          <w:rFonts w:hint="eastAsia" w:ascii="仿宋" w:hAnsi="仿宋" w:eastAsia="仿宋"/>
          <w:b/>
          <w:sz w:val="30"/>
        </w:rPr>
        <w:t>3.公务接待费</w:t>
      </w:r>
      <w:r>
        <w:rPr>
          <w:rFonts w:hint="eastAsia" w:ascii="仿宋" w:hAnsi="仿宋" w:eastAsia="仿宋"/>
          <w:sz w:val="30"/>
        </w:rPr>
        <w:t>支出0万元。其中：</w:t>
      </w:r>
    </w:p>
    <w:p>
      <w:pPr>
        <w:spacing w:line="600" w:lineRule="exact"/>
        <w:ind w:firstLine="600"/>
        <w:rPr>
          <w:rFonts w:ascii="仿宋" w:hAnsi="仿宋" w:eastAsia="仿宋"/>
          <w:color w:val="FF0000"/>
          <w:sz w:val="30"/>
        </w:rPr>
      </w:pPr>
      <w:r>
        <w:rPr>
          <w:rFonts w:hint="eastAsia" w:ascii="仿宋" w:hAnsi="仿宋" w:eastAsia="仿宋"/>
          <w:b/>
          <w:sz w:val="30"/>
        </w:rPr>
        <w:t>国内接待费</w:t>
      </w:r>
      <w:r>
        <w:rPr>
          <w:rFonts w:hint="eastAsia" w:ascii="仿宋" w:hAnsi="仿宋" w:eastAsia="仿宋"/>
          <w:sz w:val="30"/>
        </w:rPr>
        <w:t>支出0万元（其中：外事接待费支出0万元）</w:t>
      </w:r>
      <w:r>
        <w:rPr>
          <w:rFonts w:hint="eastAsia" w:ascii="仿宋" w:hAnsi="仿宋" w:eastAsia="仿宋"/>
          <w:color w:val="000000" w:themeColor="text1"/>
          <w:sz w:val="30"/>
        </w:rPr>
        <w:t>。</w:t>
      </w:r>
    </w:p>
    <w:p>
      <w:pPr>
        <w:spacing w:line="600" w:lineRule="exact"/>
        <w:ind w:firstLine="600"/>
        <w:rPr>
          <w:rFonts w:ascii="仿宋" w:hAnsi="仿宋" w:eastAsia="仿宋"/>
          <w:sz w:val="30"/>
        </w:rPr>
      </w:pPr>
      <w:r>
        <w:rPr>
          <w:rFonts w:hint="eastAsia" w:ascii="仿宋" w:hAnsi="仿宋" w:eastAsia="仿宋"/>
          <w:b/>
          <w:sz w:val="30"/>
        </w:rPr>
        <w:t>国（境）外接待费</w:t>
      </w:r>
      <w:r>
        <w:rPr>
          <w:rFonts w:hint="eastAsia" w:ascii="仿宋" w:hAnsi="仿宋" w:eastAsia="仿宋"/>
          <w:sz w:val="30"/>
        </w:rPr>
        <w:t>支出0万元，共安排国（境）外公务接待0批次，接待人次0人。</w:t>
      </w:r>
    </w:p>
    <w:p>
      <w:pPr>
        <w:spacing w:line="600" w:lineRule="exact"/>
        <w:ind w:firstLine="640"/>
        <w:rPr>
          <w:rFonts w:ascii="Times New Roman" w:hAnsi="Times New Roman" w:eastAsia="Times New Roman"/>
          <w:sz w:val="32"/>
        </w:rPr>
      </w:pPr>
      <w:r>
        <w:rPr>
          <w:rFonts w:hint="eastAsia" w:ascii="黑体" w:hAnsi="黑体" w:eastAsia="黑体"/>
          <w:sz w:val="32"/>
        </w:rPr>
        <w:t>第四部分  其他重要事项及相关口径情况说明</w:t>
      </w:r>
    </w:p>
    <w:p>
      <w:pPr>
        <w:spacing w:line="600" w:lineRule="exact"/>
        <w:ind w:firstLine="600"/>
        <w:jc w:val="left"/>
        <w:rPr>
          <w:rFonts w:ascii="Times New Roman" w:hAnsi="Times New Roman" w:eastAsia="Times New Roman"/>
          <w:sz w:val="30"/>
        </w:rPr>
      </w:pPr>
      <w:r>
        <w:rPr>
          <w:rFonts w:hint="eastAsia" w:ascii="黑体" w:hAnsi="黑体" w:eastAsia="黑体"/>
          <w:sz w:val="30"/>
        </w:rPr>
        <w:t>一、机关运行经费支出情况</w:t>
      </w:r>
    </w:p>
    <w:p>
      <w:pPr>
        <w:spacing w:line="600" w:lineRule="exact"/>
        <w:ind w:firstLine="1155" w:firstLineChars="385"/>
        <w:rPr>
          <w:rFonts w:ascii="Times New Roman" w:hAnsi="Times New Roman" w:eastAsia="Times New Roman"/>
          <w:color w:val="FF0000"/>
          <w:sz w:val="30"/>
        </w:rPr>
      </w:pPr>
      <w:r>
        <w:rPr>
          <w:rFonts w:hint="eastAsia" w:ascii="仿宋" w:hAnsi="仿宋" w:eastAsia="仿宋"/>
          <w:color w:val="000000" w:themeColor="text1"/>
          <w:sz w:val="30"/>
        </w:rPr>
        <w:t>无。</w:t>
      </w:r>
    </w:p>
    <w:p>
      <w:pPr>
        <w:spacing w:line="600" w:lineRule="exact"/>
        <w:ind w:firstLine="600"/>
        <w:jc w:val="left"/>
        <w:rPr>
          <w:rFonts w:ascii="Times New Roman" w:hAnsi="Times New Roman" w:eastAsia="Times New Roman"/>
          <w:sz w:val="30"/>
        </w:rPr>
      </w:pPr>
      <w:r>
        <w:rPr>
          <w:rFonts w:hint="eastAsia" w:ascii="黑体" w:hAnsi="黑体" w:eastAsia="黑体"/>
          <w:sz w:val="30"/>
        </w:rPr>
        <w:t>二、国有资产占用情况</w:t>
      </w:r>
    </w:p>
    <w:p>
      <w:pPr>
        <w:adjustRightInd w:val="0"/>
        <w:spacing w:line="600" w:lineRule="exact"/>
        <w:ind w:firstLine="601"/>
        <w:rPr>
          <w:rFonts w:ascii="仿宋" w:hAnsi="仿宋" w:eastAsia="仿宋" w:cs="仿宋"/>
          <w:color w:val="000000" w:themeColor="text1"/>
          <w:sz w:val="30"/>
        </w:rPr>
      </w:pPr>
      <w:r>
        <w:rPr>
          <w:rFonts w:hint="eastAsia" w:ascii="仿宋" w:hAnsi="仿宋" w:eastAsia="仿宋"/>
          <w:color w:val="000000" w:themeColor="text1"/>
          <w:sz w:val="30"/>
        </w:rPr>
        <w:t>截至2019年12月31日，德宏州梁河县茶技站资产总额11.49</w:t>
      </w:r>
      <w:r>
        <w:rPr>
          <w:rFonts w:hint="eastAsia" w:ascii="仿宋" w:hAnsi="仿宋" w:eastAsia="仿宋"/>
          <w:color w:val="000000" w:themeColor="text1"/>
          <w:kern w:val="0"/>
          <w:sz w:val="30"/>
        </w:rPr>
        <w:t>万</w:t>
      </w:r>
      <w:r>
        <w:rPr>
          <w:rFonts w:hint="eastAsia" w:ascii="仿宋" w:hAnsi="仿宋" w:eastAsia="仿宋"/>
          <w:color w:val="000000" w:themeColor="text1"/>
          <w:sz w:val="30"/>
        </w:rPr>
        <w:t>元（净值），其中，流动资产3.45</w:t>
      </w:r>
      <w:r>
        <w:rPr>
          <w:rFonts w:hint="eastAsia" w:ascii="仿宋" w:hAnsi="仿宋" w:eastAsia="仿宋"/>
          <w:color w:val="000000" w:themeColor="text1"/>
          <w:kern w:val="0"/>
          <w:sz w:val="30"/>
        </w:rPr>
        <w:t>万</w:t>
      </w:r>
      <w:r>
        <w:rPr>
          <w:rFonts w:hint="eastAsia" w:ascii="仿宋" w:hAnsi="仿宋" w:eastAsia="仿宋"/>
          <w:color w:val="000000" w:themeColor="text1"/>
          <w:sz w:val="30"/>
        </w:rPr>
        <w:t>元，固定资产8.04</w:t>
      </w:r>
      <w:r>
        <w:rPr>
          <w:rFonts w:hint="eastAsia" w:ascii="仿宋" w:hAnsi="仿宋" w:eastAsia="仿宋"/>
          <w:color w:val="000000" w:themeColor="text1"/>
          <w:kern w:val="0"/>
          <w:sz w:val="30"/>
        </w:rPr>
        <w:t>万</w:t>
      </w:r>
      <w:r>
        <w:rPr>
          <w:rFonts w:hint="eastAsia" w:ascii="仿宋" w:hAnsi="仿宋" w:eastAsia="仿宋"/>
          <w:color w:val="000000" w:themeColor="text1"/>
          <w:sz w:val="30"/>
        </w:rPr>
        <w:t>元，对外投资及有价证券0</w:t>
      </w:r>
      <w:r>
        <w:rPr>
          <w:rFonts w:hint="eastAsia" w:ascii="仿宋" w:hAnsi="仿宋" w:eastAsia="仿宋"/>
          <w:color w:val="000000" w:themeColor="text1"/>
          <w:kern w:val="0"/>
          <w:sz w:val="30"/>
        </w:rPr>
        <w:t>万</w:t>
      </w:r>
      <w:r>
        <w:rPr>
          <w:rFonts w:hint="eastAsia" w:ascii="仿宋" w:hAnsi="仿宋" w:eastAsia="仿宋"/>
          <w:color w:val="000000" w:themeColor="text1"/>
          <w:sz w:val="30"/>
        </w:rPr>
        <w:t>元，在建工程0</w:t>
      </w:r>
      <w:r>
        <w:rPr>
          <w:rFonts w:hint="eastAsia" w:ascii="仿宋" w:hAnsi="仿宋" w:eastAsia="仿宋"/>
          <w:color w:val="000000" w:themeColor="text1"/>
          <w:kern w:val="0"/>
          <w:sz w:val="30"/>
        </w:rPr>
        <w:t>万</w:t>
      </w:r>
      <w:r>
        <w:rPr>
          <w:rFonts w:hint="eastAsia" w:ascii="仿宋" w:hAnsi="仿宋" w:eastAsia="仿宋"/>
          <w:color w:val="000000" w:themeColor="text1"/>
          <w:sz w:val="30"/>
        </w:rPr>
        <w:t>元，无形资产0</w:t>
      </w:r>
      <w:r>
        <w:rPr>
          <w:rFonts w:hint="eastAsia" w:ascii="仿宋" w:hAnsi="仿宋" w:eastAsia="仿宋"/>
          <w:color w:val="000000" w:themeColor="text1"/>
          <w:kern w:val="0"/>
          <w:sz w:val="30"/>
        </w:rPr>
        <w:t>万</w:t>
      </w:r>
      <w:r>
        <w:rPr>
          <w:rFonts w:hint="eastAsia" w:ascii="仿宋" w:hAnsi="仿宋" w:eastAsia="仿宋"/>
          <w:color w:val="000000" w:themeColor="text1"/>
          <w:sz w:val="30"/>
        </w:rPr>
        <w:t>元，其他资产0</w:t>
      </w:r>
      <w:r>
        <w:rPr>
          <w:rFonts w:hint="eastAsia" w:ascii="仿宋" w:hAnsi="仿宋" w:eastAsia="仿宋"/>
          <w:color w:val="000000" w:themeColor="text1"/>
          <w:kern w:val="0"/>
          <w:sz w:val="30"/>
        </w:rPr>
        <w:t>万</w:t>
      </w:r>
      <w:r>
        <w:rPr>
          <w:rFonts w:hint="eastAsia" w:ascii="仿宋" w:hAnsi="仿宋" w:eastAsia="仿宋"/>
          <w:color w:val="000000" w:themeColor="text1"/>
          <w:sz w:val="30"/>
        </w:rPr>
        <w:t>元（具体内容详见附表）。与上年54.71</w:t>
      </w:r>
      <w:r>
        <w:rPr>
          <w:rFonts w:hint="eastAsia" w:ascii="仿宋" w:hAnsi="仿宋" w:eastAsia="仿宋"/>
          <w:color w:val="000000" w:themeColor="text1"/>
          <w:kern w:val="0"/>
          <w:sz w:val="30"/>
        </w:rPr>
        <w:t>万</w:t>
      </w:r>
      <w:r>
        <w:rPr>
          <w:rFonts w:hint="eastAsia" w:ascii="仿宋" w:hAnsi="仿宋" w:eastAsia="仿宋"/>
          <w:color w:val="000000" w:themeColor="text1"/>
          <w:sz w:val="30"/>
        </w:rPr>
        <w:t>元相比，本年资产总额减少43.22万元(减少主要原因是固</w:t>
      </w:r>
      <w:r>
        <w:rPr>
          <w:rFonts w:hint="eastAsia" w:ascii="仿宋" w:hAnsi="仿宋" w:eastAsia="仿宋" w:cs="仿宋"/>
          <w:color w:val="000000" w:themeColor="text1"/>
          <w:sz w:val="30"/>
        </w:rPr>
        <w:t>定资产折旧增加</w:t>
      </w:r>
      <w:r>
        <w:rPr>
          <w:rFonts w:hint="eastAsia" w:ascii="仿宋" w:hAnsi="仿宋" w:eastAsia="仿宋"/>
          <w:color w:val="000000" w:themeColor="text1"/>
          <w:sz w:val="30"/>
        </w:rPr>
        <w:t>)，其中;流动资产减少4.84万元，固</w:t>
      </w:r>
      <w:r>
        <w:rPr>
          <w:rFonts w:hint="eastAsia" w:ascii="仿宋" w:hAnsi="仿宋" w:eastAsia="仿宋" w:cs="仿宋"/>
          <w:color w:val="000000" w:themeColor="text1"/>
          <w:sz w:val="30"/>
        </w:rPr>
        <w:t>定资产减少38.38万元,对外投资及有价证券与上年一致，在建工程与上年一致，无形资产与上年一致，其他资产与上年一致。处置房屋建筑物0平方米，账面原值0万元；处置车辆0辆；报废报损资产0项；出租房屋0平方米，账面原值0万元，实现资产使用收入0万元。</w:t>
      </w:r>
    </w:p>
    <w:p>
      <w:pPr>
        <w:rPr>
          <w:rFonts w:ascii="仿宋_GB2312" w:hAnsi="仿宋_GB2312" w:eastAsia="仿宋_GB2312"/>
          <w:color w:val="FF0000"/>
          <w:sz w:val="30"/>
        </w:rPr>
      </w:pPr>
      <w:r>
        <w:rPr>
          <w:rFonts w:hint="eastAsia" w:ascii="宋体" w:hAnsi="宋体"/>
          <w:kern w:val="0"/>
          <w:sz w:val="18"/>
          <w:lang w:val="zh-CN"/>
        </w:rPr>
        <w:object>
          <v:shape id="_x0000_i1025" o:spt="75" type="#_x0000_t75" style="height:138pt;width:488.55pt;" o:ole="t" filled="f" o:preferrelative="t" stroked="f" coordsize="21600,21600">
            <v:path/>
            <v:fill on="f" focussize="0,0"/>
            <v:stroke on="f" joinstyle="miter"/>
            <v:imagedata r:id="rId5" o:title=""/>
            <o:lock v:ext="edit" aspectratio="f"/>
            <w10:wrap type="none"/>
            <w10:anchorlock/>
          </v:shape>
          <o:OLEObject Type="Embed" ProgID="Excel.Sheet.8" ShapeID="_x0000_i1025" DrawAspect="Content" ObjectID="_1468075725" r:id="rId4">
            <o:LockedField>false</o:LockedField>
          </o:OLEObject>
        </w:object>
      </w:r>
    </w:p>
    <w:p>
      <w:pPr>
        <w:spacing w:line="600" w:lineRule="exact"/>
        <w:ind w:firstLine="600"/>
        <w:jc w:val="left"/>
        <w:rPr>
          <w:rFonts w:ascii="仿宋" w:hAnsi="仿宋" w:eastAsia="仿宋" w:cs="仿宋"/>
          <w:sz w:val="30"/>
        </w:rPr>
      </w:pPr>
      <w:r>
        <w:rPr>
          <w:rFonts w:hint="eastAsia" w:ascii="仿宋" w:hAnsi="仿宋" w:eastAsia="仿宋" w:cs="仿宋"/>
          <w:sz w:val="30"/>
        </w:rPr>
        <w:t>三、政府采购支出情况</w:t>
      </w:r>
    </w:p>
    <w:p>
      <w:pPr>
        <w:spacing w:line="600" w:lineRule="exact"/>
        <w:ind w:firstLine="600"/>
        <w:jc w:val="left"/>
        <w:rPr>
          <w:rFonts w:ascii="仿宋" w:hAnsi="仿宋" w:eastAsia="仿宋" w:cs="仿宋"/>
          <w:color w:val="000000" w:themeColor="text1"/>
          <w:sz w:val="30"/>
        </w:rPr>
      </w:pPr>
      <w:r>
        <w:rPr>
          <w:rFonts w:hint="eastAsia" w:ascii="仿宋" w:hAnsi="仿宋" w:eastAsia="仿宋" w:cs="仿宋"/>
          <w:color w:val="000000" w:themeColor="text1"/>
          <w:sz w:val="30"/>
        </w:rPr>
        <w:t>2019年度，部门政府采购支出总额0万元,其中：政府采购货物支出0万元;政府采购工程支出0万元;政府采购服务支出0万元。</w:t>
      </w:r>
    </w:p>
    <w:p>
      <w:pPr>
        <w:spacing w:line="600" w:lineRule="exact"/>
        <w:ind w:firstLine="600"/>
        <w:jc w:val="left"/>
        <w:rPr>
          <w:rFonts w:ascii="仿宋" w:hAnsi="仿宋" w:eastAsia="仿宋" w:cs="仿宋"/>
          <w:sz w:val="30"/>
        </w:rPr>
      </w:pPr>
      <w:r>
        <w:rPr>
          <w:rFonts w:hint="eastAsia" w:ascii="仿宋" w:hAnsi="仿宋" w:eastAsia="仿宋" w:cs="仿宋"/>
          <w:color w:val="000000"/>
          <w:sz w:val="30"/>
        </w:rPr>
        <w:t>四、部门绩效自评情况</w:t>
      </w:r>
    </w:p>
    <w:p>
      <w:pPr>
        <w:spacing w:line="600" w:lineRule="exact"/>
        <w:ind w:firstLine="600"/>
        <w:jc w:val="left"/>
        <w:rPr>
          <w:rFonts w:ascii="仿宋" w:hAnsi="仿宋" w:eastAsia="仿宋" w:cs="仿宋"/>
          <w:color w:val="000000" w:themeColor="text1"/>
          <w:sz w:val="30"/>
        </w:rPr>
      </w:pPr>
      <w:r>
        <w:rPr>
          <w:rFonts w:hint="eastAsia" w:ascii="仿宋" w:hAnsi="仿宋" w:eastAsia="仿宋" w:cs="仿宋"/>
          <w:color w:val="000000" w:themeColor="text1"/>
          <w:sz w:val="30"/>
        </w:rPr>
        <w:t>我部门绩效完成情况良好，部门绩效自评情况表详见附表（附表9-附表11）</w:t>
      </w:r>
    </w:p>
    <w:p>
      <w:pPr>
        <w:spacing w:line="600" w:lineRule="exact"/>
        <w:ind w:firstLine="600"/>
        <w:jc w:val="left"/>
        <w:rPr>
          <w:rFonts w:ascii="仿宋" w:hAnsi="仿宋" w:eastAsia="仿宋" w:cs="仿宋"/>
          <w:sz w:val="30"/>
        </w:rPr>
      </w:pPr>
      <w:r>
        <w:rPr>
          <w:rFonts w:hint="eastAsia" w:ascii="仿宋" w:hAnsi="仿宋" w:eastAsia="仿宋" w:cs="仿宋"/>
          <w:sz w:val="30"/>
        </w:rPr>
        <w:t>五、其他重要事项情况说明</w:t>
      </w:r>
    </w:p>
    <w:p>
      <w:pPr>
        <w:spacing w:line="600" w:lineRule="exact"/>
        <w:ind w:firstLine="600"/>
        <w:jc w:val="left"/>
        <w:rPr>
          <w:rFonts w:ascii="仿宋" w:hAnsi="仿宋" w:eastAsia="仿宋" w:cs="仿宋"/>
          <w:color w:val="000000" w:themeColor="text1"/>
          <w:sz w:val="30"/>
        </w:rPr>
      </w:pPr>
      <w:r>
        <w:rPr>
          <w:rFonts w:hint="eastAsia" w:ascii="仿宋" w:hAnsi="仿宋" w:eastAsia="仿宋" w:cs="仿宋"/>
          <w:color w:val="000000" w:themeColor="text1"/>
          <w:sz w:val="30"/>
        </w:rPr>
        <w:t>我单位无其他重要事项情况说明。</w:t>
      </w:r>
    </w:p>
    <w:p>
      <w:pPr>
        <w:spacing w:line="600" w:lineRule="exact"/>
        <w:ind w:firstLine="600"/>
        <w:jc w:val="left"/>
        <w:rPr>
          <w:rFonts w:ascii="仿宋" w:hAnsi="仿宋" w:eastAsia="仿宋" w:cs="仿宋"/>
          <w:sz w:val="30"/>
        </w:rPr>
      </w:pPr>
      <w:r>
        <w:rPr>
          <w:rFonts w:hint="eastAsia" w:ascii="仿宋" w:hAnsi="仿宋" w:eastAsia="仿宋" w:cs="仿宋"/>
          <w:sz w:val="30"/>
        </w:rPr>
        <w:t>六、相关口径说明</w:t>
      </w:r>
    </w:p>
    <w:p>
      <w:pPr>
        <w:spacing w:line="600" w:lineRule="exact"/>
        <w:ind w:firstLine="600"/>
        <w:jc w:val="left"/>
        <w:rPr>
          <w:rFonts w:ascii="仿宋" w:hAnsi="仿宋" w:eastAsia="仿宋" w:cs="仿宋"/>
          <w:sz w:val="30"/>
          <w:szCs w:val="30"/>
        </w:rPr>
      </w:pPr>
      <w:r>
        <w:rPr>
          <w:rFonts w:hint="eastAsia" w:ascii="仿宋" w:hAnsi="仿宋" w:eastAsia="仿宋" w:cs="仿宋"/>
          <w:sz w:val="30"/>
          <w:szCs w:val="30"/>
        </w:rPr>
        <w:t>（一）基本支出中人员经费包括工资福利支出和对个人和家庭的补助，日常公用支出包括商品和服务支出、资本性支出等人员经费以外的支出。</w:t>
      </w:r>
    </w:p>
    <w:p>
      <w:pPr>
        <w:spacing w:line="600" w:lineRule="exact"/>
        <w:ind w:firstLine="600"/>
        <w:jc w:val="left"/>
        <w:rPr>
          <w:rFonts w:ascii="仿宋" w:hAnsi="仿宋" w:eastAsia="仿宋" w:cs="仿宋"/>
          <w:sz w:val="30"/>
          <w:szCs w:val="30"/>
        </w:rPr>
      </w:pPr>
      <w:r>
        <w:rPr>
          <w:rFonts w:hint="eastAsia" w:ascii="仿宋" w:hAnsi="仿宋" w:eastAsia="仿宋" w:cs="仿宋"/>
          <w:sz w:val="30"/>
          <w:szCs w:val="30"/>
        </w:rPr>
        <w:t>（二）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spacing w:line="600" w:lineRule="exact"/>
        <w:ind w:firstLine="600"/>
        <w:jc w:val="left"/>
        <w:rPr>
          <w:rFonts w:ascii="仿宋" w:hAnsi="仿宋" w:eastAsia="仿宋" w:cs="仿宋"/>
          <w:sz w:val="30"/>
          <w:szCs w:val="30"/>
        </w:rPr>
      </w:pPr>
      <w:r>
        <w:rPr>
          <w:rFonts w:hint="eastAsia" w:ascii="仿宋" w:hAnsi="仿宋" w:eastAsia="仿宋" w:cs="仿宋"/>
          <w:sz w:val="30"/>
          <w:szCs w:val="30"/>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spacing w:line="600" w:lineRule="exact"/>
        <w:ind w:firstLine="640"/>
        <w:jc w:val="center"/>
        <w:rPr>
          <w:rFonts w:ascii="仿宋" w:hAnsi="仿宋" w:eastAsia="仿宋" w:cs="仿宋"/>
          <w:sz w:val="30"/>
          <w:szCs w:val="30"/>
        </w:rPr>
      </w:pPr>
      <w:r>
        <w:rPr>
          <w:rFonts w:hint="eastAsia" w:ascii="仿宋" w:hAnsi="仿宋" w:eastAsia="仿宋" w:cs="仿宋"/>
          <w:sz w:val="30"/>
          <w:szCs w:val="30"/>
        </w:rPr>
        <w:t>第五部分  名词解释</w:t>
      </w:r>
    </w:p>
    <w:p>
      <w:pPr>
        <w:widowControl w:val="0"/>
        <w:ind w:firstLine="600" w:firstLineChars="200"/>
        <w:rPr>
          <w:rFonts w:ascii="仿宋" w:hAnsi="仿宋" w:eastAsia="仿宋" w:cs="仿宋"/>
          <w:sz w:val="30"/>
          <w:szCs w:val="30"/>
        </w:rPr>
      </w:pPr>
      <w:r>
        <w:rPr>
          <w:rFonts w:hint="eastAsia" w:ascii="仿宋" w:hAnsi="仿宋" w:eastAsia="仿宋" w:cs="仿宋"/>
          <w:sz w:val="30"/>
          <w:szCs w:val="30"/>
        </w:rPr>
        <w:t>政府采购：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val="0"/>
        <w:ind w:firstLine="600" w:firstLineChars="200"/>
        <w:rPr>
          <w:rFonts w:ascii="仿宋" w:hAnsi="仿宋" w:eastAsia="仿宋" w:cs="仿宋"/>
          <w:sz w:val="30"/>
          <w:szCs w:val="30"/>
        </w:rPr>
      </w:pPr>
      <w:r>
        <w:rPr>
          <w:rFonts w:hint="eastAsia" w:ascii="仿宋" w:hAnsi="仿宋" w:eastAsia="仿宋" w:cs="仿宋"/>
          <w:sz w:val="30"/>
          <w:szCs w:val="30"/>
        </w:rPr>
        <w:t>财政拨款收入: 指本级财政当年拨付的资金。</w:t>
      </w:r>
    </w:p>
    <w:p>
      <w:pPr>
        <w:pStyle w:val="6"/>
        <w:shd w:val="clear" w:color="auto" w:fill="FFFFFF" w:themeFill="background1"/>
        <w:spacing w:beforeAutospacing="0" w:afterAutospacing="0" w:line="30" w:lineRule="atLeast"/>
        <w:ind w:firstLine="420"/>
        <w:jc w:val="both"/>
        <w:rPr>
          <w:rFonts w:ascii="仿宋" w:hAnsi="仿宋" w:eastAsia="仿宋" w:cs="仿宋"/>
          <w:color w:val="000000"/>
          <w:sz w:val="30"/>
          <w:szCs w:val="30"/>
        </w:rPr>
      </w:pPr>
      <w:r>
        <w:rPr>
          <w:rFonts w:hint="eastAsia" w:ascii="仿宋" w:hAnsi="仿宋" w:eastAsia="仿宋" w:cs="仿宋"/>
          <w:color w:val="000000"/>
          <w:sz w:val="30"/>
          <w:szCs w:val="30"/>
        </w:rPr>
        <w:t>其他收入：指除上述“财政拨款收入”、“事业收入”、“事业单位经营收入”等以外的收入。主要是按规定动用的售房收入、存款利息收入等。</w:t>
      </w:r>
    </w:p>
    <w:p>
      <w:pPr>
        <w:pStyle w:val="6"/>
        <w:shd w:val="clear" w:color="auto" w:fill="FFFFFF" w:themeFill="background1"/>
        <w:spacing w:beforeAutospacing="0" w:afterAutospacing="0" w:line="30" w:lineRule="atLeast"/>
        <w:ind w:firstLine="420"/>
        <w:jc w:val="both"/>
        <w:rPr>
          <w:rFonts w:ascii="仿宋" w:hAnsi="仿宋" w:eastAsia="仿宋" w:cs="仿宋"/>
          <w:color w:val="000000"/>
          <w:sz w:val="30"/>
          <w:szCs w:val="30"/>
        </w:rPr>
      </w:pPr>
      <w:r>
        <w:rPr>
          <w:rFonts w:hint="eastAsia" w:ascii="仿宋" w:hAnsi="仿宋" w:eastAsia="仿宋" w:cs="仿宋"/>
          <w:color w:val="000000"/>
          <w:sz w:val="30"/>
          <w:szCs w:val="30"/>
        </w:rPr>
        <w:t>上年结转：指以前年度尚未完成、结转到本年仍按规定用途继续使用的资金。</w:t>
      </w:r>
    </w:p>
    <w:p>
      <w:pPr>
        <w:pStyle w:val="6"/>
        <w:shd w:val="clear" w:color="auto" w:fill="FFFFFF" w:themeFill="background1"/>
        <w:spacing w:beforeAutospacing="0" w:afterAutospacing="0" w:line="30" w:lineRule="atLeast"/>
        <w:ind w:firstLine="420"/>
        <w:jc w:val="both"/>
        <w:rPr>
          <w:rFonts w:ascii="仿宋" w:hAnsi="仿宋" w:eastAsia="仿宋" w:cs="仿宋"/>
          <w:color w:val="000000"/>
          <w:sz w:val="30"/>
          <w:szCs w:val="30"/>
        </w:rPr>
      </w:pPr>
      <w:r>
        <w:rPr>
          <w:rFonts w:hint="eastAsia" w:ascii="仿宋" w:hAnsi="仿宋" w:eastAsia="仿宋" w:cs="仿宋"/>
          <w:color w:val="000000"/>
          <w:sz w:val="30"/>
          <w:szCs w:val="30"/>
        </w:rPr>
        <w:t>农业事业运行：反映用于事业单位基本支出，事业单位设施、系统运行与资产维护等方面的支出。</w:t>
      </w:r>
    </w:p>
    <w:p>
      <w:pPr>
        <w:widowControl w:val="0"/>
        <w:ind w:firstLine="600" w:firstLineChars="200"/>
        <w:rPr>
          <w:rFonts w:ascii="仿宋" w:hAnsi="仿宋" w:eastAsia="仿宋" w:cs="仿宋"/>
          <w:sz w:val="30"/>
          <w:szCs w:val="30"/>
        </w:rPr>
      </w:pPr>
      <w:r>
        <w:rPr>
          <w:rFonts w:hint="eastAsia" w:ascii="仿宋" w:hAnsi="仿宋" w:eastAsia="仿宋" w:cs="仿宋"/>
          <w:sz w:val="30"/>
          <w:szCs w:val="30"/>
        </w:rPr>
        <w:t>基本支出: 指为保障机构正常运转、完成日常工作任务而发生的人员支出和公用支出。</w:t>
      </w:r>
    </w:p>
    <w:p>
      <w:pPr>
        <w:widowControl w:val="0"/>
        <w:ind w:firstLine="600" w:firstLineChars="200"/>
        <w:rPr>
          <w:rFonts w:ascii="仿宋" w:hAnsi="仿宋" w:eastAsia="仿宋" w:cs="仿宋"/>
          <w:sz w:val="30"/>
          <w:szCs w:val="30"/>
        </w:rPr>
      </w:pPr>
      <w:r>
        <w:rPr>
          <w:rFonts w:hint="eastAsia" w:ascii="仿宋" w:hAnsi="仿宋" w:eastAsia="仿宋" w:cs="仿宋"/>
          <w:sz w:val="30"/>
          <w:szCs w:val="30"/>
        </w:rPr>
        <w:t>项目支出: 指在基本支出之外为完成特定行政任务和事业发展目标所发生的支出。</w:t>
      </w:r>
    </w:p>
    <w:p>
      <w:pPr>
        <w:pStyle w:val="6"/>
        <w:shd w:val="clear" w:color="auto" w:fill="FFFFFF" w:themeFill="background1"/>
        <w:spacing w:beforeAutospacing="0" w:afterAutospacing="0" w:line="30" w:lineRule="atLeast"/>
        <w:ind w:firstLine="420"/>
        <w:jc w:val="both"/>
        <w:rPr>
          <w:rFonts w:ascii="仿宋" w:hAnsi="仿宋" w:eastAsia="仿宋" w:cs="仿宋"/>
          <w:color w:val="000000"/>
          <w:sz w:val="30"/>
          <w:szCs w:val="30"/>
        </w:rPr>
      </w:pPr>
      <w:r>
        <w:rPr>
          <w:rFonts w:hint="eastAsia" w:ascii="仿宋" w:hAnsi="仿宋" w:eastAsia="仿宋" w:cs="仿宋"/>
          <w:color w:val="000000"/>
          <w:sz w:val="30"/>
          <w:szCs w:val="30"/>
        </w:rPr>
        <w:t>社会保障和就业支出：反映用于在社会保障和就业方面的支出。</w:t>
      </w:r>
    </w:p>
    <w:p>
      <w:pPr>
        <w:pStyle w:val="6"/>
        <w:shd w:val="clear" w:color="auto" w:fill="FFFFFF" w:themeFill="background1"/>
        <w:spacing w:beforeAutospacing="0" w:afterAutospacing="0" w:line="30" w:lineRule="atLeast"/>
        <w:ind w:firstLine="420"/>
        <w:jc w:val="both"/>
        <w:rPr>
          <w:rFonts w:ascii="仿宋" w:hAnsi="仿宋" w:eastAsia="仿宋" w:cs="仿宋"/>
          <w:color w:val="000000"/>
          <w:sz w:val="30"/>
          <w:szCs w:val="30"/>
        </w:rPr>
      </w:pPr>
      <w:r>
        <w:rPr>
          <w:rFonts w:hint="eastAsia" w:ascii="仿宋" w:hAnsi="仿宋" w:eastAsia="仿宋" w:cs="仿宋"/>
          <w:color w:val="000000"/>
          <w:sz w:val="30"/>
          <w:szCs w:val="30"/>
        </w:rPr>
        <w:t>住房保障支出：反映用于住房公积金的支出。</w:t>
      </w:r>
    </w:p>
    <w:p>
      <w:pPr>
        <w:widowControl w:val="0"/>
        <w:ind w:firstLine="600" w:firstLineChars="200"/>
        <w:rPr>
          <w:rFonts w:ascii="仿宋" w:hAnsi="仿宋" w:eastAsia="仿宋" w:cs="仿宋"/>
          <w:sz w:val="30"/>
          <w:szCs w:val="30"/>
        </w:rPr>
      </w:pPr>
      <w:r>
        <w:rPr>
          <w:rFonts w:hint="eastAsia" w:ascii="仿宋" w:hAnsi="仿宋" w:eastAsia="仿宋" w:cs="仿宋"/>
          <w:sz w:val="30"/>
          <w:szCs w:val="30"/>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06517"/>
    <w:rsid w:val="00172A27"/>
    <w:rsid w:val="003967A1"/>
    <w:rsid w:val="009A5FEE"/>
    <w:rsid w:val="00AF3A9E"/>
    <w:rsid w:val="04AD146E"/>
    <w:rsid w:val="06B1569F"/>
    <w:rsid w:val="0BBA7D5E"/>
    <w:rsid w:val="0DA36CAF"/>
    <w:rsid w:val="0E89029F"/>
    <w:rsid w:val="10B16739"/>
    <w:rsid w:val="12415850"/>
    <w:rsid w:val="14FD03D2"/>
    <w:rsid w:val="15436EF5"/>
    <w:rsid w:val="16E358C3"/>
    <w:rsid w:val="22B93FB0"/>
    <w:rsid w:val="248C15E9"/>
    <w:rsid w:val="28963AAE"/>
    <w:rsid w:val="2E9E3FA5"/>
    <w:rsid w:val="38832B97"/>
    <w:rsid w:val="42CD7306"/>
    <w:rsid w:val="46882D20"/>
    <w:rsid w:val="48844A07"/>
    <w:rsid w:val="48DB31CE"/>
    <w:rsid w:val="4BD57488"/>
    <w:rsid w:val="4C185854"/>
    <w:rsid w:val="4D326A59"/>
    <w:rsid w:val="4EC84118"/>
    <w:rsid w:val="4F460C25"/>
    <w:rsid w:val="4FAD5FA5"/>
    <w:rsid w:val="5123593D"/>
    <w:rsid w:val="51904869"/>
    <w:rsid w:val="52CE5F36"/>
    <w:rsid w:val="58DB47F8"/>
    <w:rsid w:val="59CC0E45"/>
    <w:rsid w:val="5C641FB1"/>
    <w:rsid w:val="5C851200"/>
    <w:rsid w:val="5FEB6545"/>
    <w:rsid w:val="608E43F0"/>
    <w:rsid w:val="625F2FFC"/>
    <w:rsid w:val="6523561A"/>
    <w:rsid w:val="65981080"/>
    <w:rsid w:val="65BB5FF3"/>
    <w:rsid w:val="674B5D58"/>
    <w:rsid w:val="677B063C"/>
    <w:rsid w:val="68542CD3"/>
    <w:rsid w:val="6C705F63"/>
    <w:rsid w:val="6DFA639E"/>
    <w:rsid w:val="6F357DB6"/>
    <w:rsid w:val="721B0EFC"/>
    <w:rsid w:val="7CF60E58"/>
    <w:rsid w:val="7F9731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00" w:beforeAutospacing="1" w:after="100" w:afterAutospacing="1"/>
      <w:jc w:val="left"/>
    </w:pPr>
    <w:rPr>
      <w:rFonts w:ascii="宋体" w:hAnsi="宋体" w:cs="宋体"/>
      <w:kern w:val="0"/>
      <w:sz w:val="24"/>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character" w:customStyle="1" w:styleId="9">
    <w:name w:val="页眉 Char"/>
    <w:basedOn w:val="8"/>
    <w:link w:val="5"/>
    <w:uiPriority w:val="0"/>
    <w:rPr>
      <w:rFonts w:asciiTheme="minorHAnsi" w:hAnsiTheme="minorHAnsi" w:cstheme="minorBidi"/>
      <w:kern w:val="2"/>
      <w:sz w:val="18"/>
      <w:szCs w:val="18"/>
    </w:rPr>
  </w:style>
  <w:style w:type="character" w:customStyle="1" w:styleId="10">
    <w:name w:val="页脚 Char"/>
    <w:basedOn w:val="8"/>
    <w:link w:val="4"/>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Workbook1.xls"/><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15</Pages>
  <Words>5892</Words>
  <Characters>801</Characters>
  <Lines>6</Lines>
  <Paragraphs>13</Paragraphs>
  <TotalTime>11</TotalTime>
  <ScaleCrop>false</ScaleCrop>
  <LinksUpToDate>false</LinksUpToDate>
  <CharactersWithSpaces>6680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2020-09-23T01:22:00Z</dcterms:created>
  <dc:creator>Administrator</dc:creator>
  <cp:lastModifiedBy>Administrator</cp:lastModifiedBy>
  <dcterms:modified xsi:type="dcterms:W3CDTF">2023-07-19T07:56:42Z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