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九保九保村联九畜牧生态园大型沼气</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项目实施方案</w:t>
      </w:r>
    </w:p>
    <w:p>
      <w:pPr>
        <w:ind w:firstLine="640"/>
        <w:jc w:val="center"/>
        <w:rPr>
          <w:rFonts w:ascii="仿宋_GB2312" w:hAnsi="仿宋_GB2312"/>
        </w:rPr>
      </w:pPr>
    </w:p>
    <w:p>
      <w:pPr>
        <w:ind w:firstLine="640"/>
      </w:pPr>
      <w:r>
        <w:rPr>
          <w:rFonts w:hint="eastAsia" w:ascii="仿宋_GB2312" w:hAnsi="仿宋_GB2312"/>
        </w:rPr>
        <w:t>根据《2020年</w:t>
      </w:r>
      <w:r>
        <w:rPr>
          <w:rFonts w:hint="eastAsia"/>
        </w:rPr>
        <w:t>上海青浦对口支援梁河县计划内项目》，结合梁河实际，特编制本方案。</w:t>
      </w:r>
    </w:p>
    <w:p>
      <w:pPr>
        <w:pStyle w:val="5"/>
        <w:ind w:firstLine="640"/>
      </w:pPr>
      <w:r>
        <w:rPr>
          <w:rFonts w:hint="eastAsia"/>
        </w:rPr>
        <w:t>一、项目区基本情况</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一</w:t>
      </w:r>
      <w:r>
        <w:rPr>
          <w:rFonts w:ascii="Times New Roman" w:hAnsi="Times New Roman" w:eastAsia="楷体_GB2312"/>
          <w:b/>
        </w:rPr>
        <w:t>）勐科村</w:t>
      </w:r>
    </w:p>
    <w:p>
      <w:pPr>
        <w:ind w:firstLine="640"/>
        <w:rPr>
          <w:rFonts w:ascii="Times New Roman" w:hAnsi="Times New Roman"/>
        </w:rPr>
      </w:pPr>
      <w:r>
        <w:rPr>
          <w:rFonts w:ascii="Times New Roman" w:hAnsi="Times New Roman"/>
        </w:rPr>
        <w:t>勐科村委会地处九保乡东北部，距乡政府驻地14公里，距县城11公里。全村国土面积9.32平方公里，辖7个村民小组,现有24</w:t>
      </w:r>
      <w:r>
        <w:rPr>
          <w:rFonts w:hint="eastAsia" w:ascii="Times New Roman" w:hAnsi="Times New Roman"/>
        </w:rPr>
        <w:t>4</w:t>
      </w:r>
      <w:r>
        <w:rPr>
          <w:rFonts w:ascii="Times New Roman" w:hAnsi="Times New Roman"/>
        </w:rPr>
        <w:t>户9</w:t>
      </w:r>
      <w:r>
        <w:rPr>
          <w:rFonts w:hint="eastAsia" w:ascii="Times New Roman" w:hAnsi="Times New Roman"/>
        </w:rPr>
        <w:t>68</w:t>
      </w:r>
      <w:r>
        <w:rPr>
          <w:rFonts w:ascii="Times New Roman" w:hAnsi="Times New Roman"/>
        </w:rPr>
        <w:t>人，其中：</w:t>
      </w:r>
      <w:r>
        <w:rPr>
          <w:rFonts w:ascii="Times New Roman" w:hAnsi="Times New Roman"/>
          <w:color w:val="000000"/>
        </w:rPr>
        <w:t>阿昌族</w:t>
      </w:r>
      <w:r>
        <w:rPr>
          <w:rFonts w:hint="eastAsia" w:ascii="Times New Roman" w:hAnsi="Times New Roman"/>
          <w:color w:val="000000"/>
        </w:rPr>
        <w:t>237户910</w:t>
      </w:r>
      <w:r>
        <w:rPr>
          <w:rFonts w:ascii="Times New Roman" w:hAnsi="Times New Roman"/>
          <w:color w:val="000000"/>
        </w:rPr>
        <w:t>人，占全村总人口的</w:t>
      </w:r>
      <w:r>
        <w:rPr>
          <w:rFonts w:hint="eastAsia" w:ascii="Times New Roman" w:hAnsi="Times New Roman"/>
          <w:color w:val="000000"/>
        </w:rPr>
        <w:t>9</w:t>
      </w:r>
      <w:r>
        <w:rPr>
          <w:rFonts w:ascii="Times New Roman" w:hAnsi="Times New Roman"/>
          <w:color w:val="000000"/>
        </w:rPr>
        <w:t>4 %。</w:t>
      </w:r>
      <w:r>
        <w:rPr>
          <w:rFonts w:ascii="Times New Roman" w:hAnsi="Times New Roman"/>
        </w:rPr>
        <w:t>共有耕地面积940亩，其中：水田405亩，旱地535亩，人均耕地</w:t>
      </w:r>
      <w:r>
        <w:rPr>
          <w:rFonts w:hint="eastAsia" w:ascii="Times New Roman" w:hAnsi="Times New Roman"/>
        </w:rPr>
        <w:t>0.97</w:t>
      </w:r>
      <w:r>
        <w:rPr>
          <w:rFonts w:ascii="Times New Roman" w:hAnsi="Times New Roman"/>
        </w:rPr>
        <w:t>亩。201</w:t>
      </w:r>
      <w:r>
        <w:rPr>
          <w:rFonts w:hint="eastAsia" w:ascii="Times New Roman" w:hAnsi="Times New Roman"/>
        </w:rPr>
        <w:t>9</w:t>
      </w:r>
      <w:r>
        <w:rPr>
          <w:rFonts w:ascii="Times New Roman" w:hAnsi="Times New Roman"/>
        </w:rPr>
        <w:t>年末全村经济总收入</w:t>
      </w:r>
      <w:r>
        <w:rPr>
          <w:rFonts w:hint="eastAsia" w:ascii="Times New Roman" w:hAnsi="Times New Roman"/>
        </w:rPr>
        <w:t>1516</w:t>
      </w:r>
      <w:r>
        <w:rPr>
          <w:rFonts w:ascii="Times New Roman" w:hAnsi="Times New Roman"/>
        </w:rPr>
        <w:t>万元，人均口粮4</w:t>
      </w:r>
      <w:r>
        <w:rPr>
          <w:rFonts w:hint="eastAsia" w:ascii="Times New Roman" w:hAnsi="Times New Roman"/>
        </w:rPr>
        <w:t>46</w:t>
      </w:r>
      <w:r>
        <w:rPr>
          <w:rFonts w:ascii="Times New Roman" w:hAnsi="Times New Roman"/>
        </w:rPr>
        <w:t>公斤，农民人均纯收入</w:t>
      </w:r>
      <w:r>
        <w:rPr>
          <w:rFonts w:hint="eastAsia" w:ascii="Times New Roman" w:hAnsi="Times New Roman"/>
        </w:rPr>
        <w:t>8015</w:t>
      </w:r>
      <w:r>
        <w:rPr>
          <w:rFonts w:ascii="Times New Roman" w:hAnsi="Times New Roman"/>
        </w:rPr>
        <w:t>元，全村以茶叶和水稻种植为主。</w:t>
      </w:r>
      <w:r>
        <w:rPr>
          <w:rFonts w:hint="eastAsia" w:ascii="Times New Roman" w:hAnsi="Times New Roman"/>
        </w:rPr>
        <w:t>2019年全村种植烤烟230 亩，产量31吨，甘蔗200亩，产量800吨。</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二</w:t>
      </w:r>
      <w:r>
        <w:rPr>
          <w:rFonts w:ascii="Times New Roman" w:hAnsi="Times New Roman" w:eastAsia="楷体_GB2312"/>
          <w:b/>
        </w:rPr>
        <w:t>）勐宋村</w:t>
      </w:r>
    </w:p>
    <w:p>
      <w:pPr>
        <w:ind w:firstLine="640"/>
        <w:rPr>
          <w:rFonts w:ascii="Times New Roman" w:hAnsi="Times New Roman"/>
        </w:rPr>
      </w:pPr>
      <w:r>
        <w:rPr>
          <w:rFonts w:ascii="Times New Roman" w:hAnsi="Times New Roman"/>
        </w:rPr>
        <w:t>勐宋村地处九保乡西北部，距乡政府驻地11公里，距县城9公里。全村国土面积25.68平方公里。辖8个自然村16个村民小组。现有乡村总人口</w:t>
      </w:r>
      <w:r>
        <w:rPr>
          <w:rFonts w:hint="eastAsia" w:ascii="Times New Roman" w:hAnsi="Times New Roman"/>
        </w:rPr>
        <w:t>780</w:t>
      </w:r>
      <w:r>
        <w:rPr>
          <w:rFonts w:ascii="Times New Roman" w:hAnsi="Times New Roman"/>
        </w:rPr>
        <w:t>户339</w:t>
      </w:r>
      <w:r>
        <w:rPr>
          <w:rFonts w:hint="eastAsia" w:ascii="Times New Roman" w:hAnsi="Times New Roman"/>
        </w:rPr>
        <w:t>8</w:t>
      </w:r>
      <w:r>
        <w:rPr>
          <w:rFonts w:ascii="Times New Roman" w:hAnsi="Times New Roman"/>
        </w:rPr>
        <w:t>人，农业人口</w:t>
      </w:r>
      <w:r>
        <w:rPr>
          <w:rFonts w:hint="eastAsia" w:ascii="Times New Roman" w:hAnsi="Times New Roman"/>
        </w:rPr>
        <w:t>778户3311人，</w:t>
      </w:r>
      <w:r>
        <w:rPr>
          <w:rFonts w:ascii="Times New Roman" w:hAnsi="Times New Roman"/>
        </w:rPr>
        <w:t>其中：</w:t>
      </w:r>
      <w:r>
        <w:rPr>
          <w:rFonts w:ascii="Times New Roman" w:hAnsi="Times New Roman"/>
          <w:color w:val="000000"/>
        </w:rPr>
        <w:t>阿昌族6</w:t>
      </w:r>
      <w:r>
        <w:rPr>
          <w:rFonts w:hint="eastAsia" w:ascii="Times New Roman" w:hAnsi="Times New Roman"/>
          <w:color w:val="000000"/>
        </w:rPr>
        <w:t>5</w:t>
      </w:r>
      <w:r>
        <w:rPr>
          <w:rFonts w:ascii="Times New Roman" w:hAnsi="Times New Roman"/>
          <w:color w:val="000000"/>
        </w:rPr>
        <w:t>人，占全村总人口的1.</w:t>
      </w:r>
      <w:r>
        <w:rPr>
          <w:rFonts w:hint="eastAsia" w:ascii="Times New Roman" w:hAnsi="Times New Roman"/>
          <w:color w:val="000000"/>
        </w:rPr>
        <w:t>96</w:t>
      </w:r>
      <w:r>
        <w:rPr>
          <w:rFonts w:ascii="Times New Roman" w:hAnsi="Times New Roman"/>
          <w:color w:val="000000"/>
        </w:rPr>
        <w:t>%。</w:t>
      </w:r>
      <w:r>
        <w:rPr>
          <w:rFonts w:ascii="Times New Roman" w:hAnsi="Times New Roman"/>
        </w:rPr>
        <w:t>共有耕地面积6473亩，其中：水田2627亩，旱地3846亩，人均耕地1.9</w:t>
      </w:r>
      <w:r>
        <w:rPr>
          <w:rFonts w:hint="eastAsia" w:ascii="Times New Roman" w:hAnsi="Times New Roman"/>
        </w:rPr>
        <w:t>1</w:t>
      </w:r>
      <w:r>
        <w:rPr>
          <w:rFonts w:ascii="Times New Roman" w:hAnsi="Times New Roman"/>
        </w:rPr>
        <w:t>亩。全村以种植水稻、烤烟、甘蔗和畜牧养殖为主。</w:t>
      </w:r>
      <w:r>
        <w:rPr>
          <w:rFonts w:hint="eastAsia" w:ascii="Times New Roman" w:hAnsi="Times New Roman"/>
        </w:rPr>
        <w:t>2019年全村种植烤烟1660亩，产量224吨；甘蔗1000亩，产量3900吨；水稻2116亩，产量880吨。</w:t>
      </w:r>
      <w:r>
        <w:rPr>
          <w:rFonts w:ascii="Times New Roman" w:hAnsi="Times New Roman"/>
        </w:rPr>
        <w:t>201</w:t>
      </w:r>
      <w:r>
        <w:rPr>
          <w:rFonts w:hint="eastAsia" w:ascii="Times New Roman" w:hAnsi="Times New Roman"/>
        </w:rPr>
        <w:t>9</w:t>
      </w:r>
      <w:r>
        <w:rPr>
          <w:rFonts w:ascii="Times New Roman" w:hAnsi="Times New Roman"/>
        </w:rPr>
        <w:t>年全村经济总收入</w:t>
      </w:r>
      <w:r>
        <w:rPr>
          <w:rFonts w:hint="eastAsia" w:ascii="Times New Roman" w:hAnsi="Times New Roman"/>
        </w:rPr>
        <w:t>4149</w:t>
      </w:r>
      <w:r>
        <w:rPr>
          <w:rFonts w:ascii="Times New Roman" w:hAnsi="Times New Roman"/>
        </w:rPr>
        <w:t>万元，人均口粮</w:t>
      </w:r>
      <w:r>
        <w:rPr>
          <w:rFonts w:hint="eastAsia" w:ascii="Times New Roman" w:hAnsi="Times New Roman"/>
        </w:rPr>
        <w:t>483</w:t>
      </w:r>
      <w:r>
        <w:rPr>
          <w:rFonts w:ascii="Times New Roman" w:hAnsi="Times New Roman"/>
        </w:rPr>
        <w:t>公斤，农民人均纯收入</w:t>
      </w:r>
      <w:r>
        <w:rPr>
          <w:rFonts w:hint="eastAsia" w:ascii="Times New Roman" w:hAnsi="Times New Roman"/>
        </w:rPr>
        <w:t>10227</w:t>
      </w:r>
      <w:r>
        <w:rPr>
          <w:rFonts w:ascii="Times New Roman" w:hAnsi="Times New Roman"/>
        </w:rPr>
        <w:t>元</w:t>
      </w:r>
      <w:r>
        <w:rPr>
          <w:rFonts w:hint="eastAsia" w:ascii="Times New Roman" w:hAnsi="Times New Roman"/>
        </w:rPr>
        <w:t>。</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三</w:t>
      </w:r>
      <w:r>
        <w:rPr>
          <w:rFonts w:ascii="Times New Roman" w:hAnsi="Times New Roman" w:eastAsia="楷体_GB2312"/>
          <w:b/>
        </w:rPr>
        <w:t>）安乐村</w:t>
      </w:r>
    </w:p>
    <w:p>
      <w:pPr>
        <w:ind w:firstLine="640"/>
        <w:rPr>
          <w:rFonts w:ascii="Times New Roman" w:hAnsi="Times New Roman"/>
        </w:rPr>
      </w:pPr>
      <w:r>
        <w:rPr>
          <w:rFonts w:ascii="Times New Roman" w:hAnsi="Times New Roman"/>
        </w:rPr>
        <w:t>安乐村地处九保乡西部，距乡政府驻地15.5公里，距县城17.5公里。全村国土面积21.23平方公里。辖8个自然村14个村民小组。现有</w:t>
      </w:r>
      <w:r>
        <w:rPr>
          <w:rFonts w:hint="eastAsia" w:ascii="Times New Roman" w:hAnsi="Times New Roman"/>
        </w:rPr>
        <w:t>743户3258人，其中：阿昌族29人，占全村总人口的0.89%。共有耕地面积5505亩，其中水田1577亩，旱地3928亩，人均耕地1.69亩。2019年全村经济总收入2955万元，人均口粮230公斤</w:t>
      </w:r>
      <w:r>
        <w:rPr>
          <w:rFonts w:ascii="Times New Roman" w:hAnsi="Times New Roman"/>
        </w:rPr>
        <w:t>，农民人均纯收入</w:t>
      </w:r>
      <w:r>
        <w:rPr>
          <w:rFonts w:hint="eastAsia" w:ascii="Times New Roman" w:hAnsi="Times New Roman"/>
        </w:rPr>
        <w:t>7765</w:t>
      </w:r>
      <w:r>
        <w:rPr>
          <w:rFonts w:ascii="Times New Roman" w:hAnsi="Times New Roman"/>
        </w:rPr>
        <w:t>元，全村以种植甘蔗和畜牧养殖为主。</w:t>
      </w:r>
      <w:r>
        <w:rPr>
          <w:rFonts w:hint="eastAsia" w:ascii="Times New Roman" w:hAnsi="Times New Roman"/>
        </w:rPr>
        <w:t>2019年全村种植烤烟310亩42吨，甘蔗2145亩，产量7722吨。</w:t>
      </w:r>
    </w:p>
    <w:p>
      <w:pPr>
        <w:ind w:firstLine="643"/>
        <w:rPr>
          <w:rFonts w:ascii="Times New Roman" w:hAnsi="Times New Roman" w:eastAsia="楷体_GB2312"/>
          <w:b/>
        </w:rPr>
      </w:pPr>
      <w:r>
        <w:rPr>
          <w:rFonts w:ascii="Times New Roman" w:hAnsi="Times New Roman" w:eastAsia="楷体_GB2312"/>
          <w:b/>
        </w:rPr>
        <w:t>（</w:t>
      </w:r>
      <w:r>
        <w:rPr>
          <w:rFonts w:hint="eastAsia" w:ascii="Times New Roman" w:hAnsi="Times New Roman" w:eastAsia="楷体_GB2312"/>
          <w:b/>
        </w:rPr>
        <w:t>四</w:t>
      </w:r>
      <w:r>
        <w:rPr>
          <w:rFonts w:ascii="Times New Roman" w:hAnsi="Times New Roman" w:eastAsia="楷体_GB2312"/>
          <w:b/>
        </w:rPr>
        <w:t>）</w:t>
      </w:r>
      <w:r>
        <w:rPr>
          <w:rFonts w:hint="eastAsia" w:ascii="Times New Roman" w:hAnsi="Times New Roman" w:eastAsia="楷体_GB2312"/>
          <w:b/>
        </w:rPr>
        <w:t>小厂村</w:t>
      </w:r>
    </w:p>
    <w:p>
      <w:pPr>
        <w:ind w:firstLine="640"/>
      </w:pPr>
      <w:r>
        <w:rPr>
          <w:rFonts w:hint="eastAsia"/>
        </w:rPr>
        <w:t>小厂村在乡政府驻地，距县城20公里，国土面积6.27平方公里，平均海拔2050米，辖6个自然村，6个村民小组，2019年末，全村共有363户1529人，实有耕地面积735亩（其中水田513亩，旱地 222亩），林地2024亩；茶园种植面积1863亩，产量280吨；粮食总产444吨，人均口粮244公斤；农村经济总收入2127万元，农民人均纯收入7682元。全村设有1个党总支，4个党支部（中共小厂乡小厂村石岩脚村民小组支部委员会、中共小厂村黑脑子村民小组支部委员会、中共小厂村上中山下中山村民小组支部委员会、中共小厂村小厂街小厂地村民小组支部委员会），79名党员（含预备党员），少数</w:t>
      </w:r>
      <w:r>
        <w:rPr>
          <w:rFonts w:hint="eastAsia"/>
          <w:lang w:eastAsia="zh-CN"/>
        </w:rPr>
        <w:t>民</w:t>
      </w:r>
      <w:r>
        <w:rPr>
          <w:rFonts w:hint="eastAsia"/>
        </w:rPr>
        <w:t>族党员26名，男性64名，女性15名。</w:t>
      </w:r>
    </w:p>
    <w:p>
      <w:pPr>
        <w:ind w:firstLine="643"/>
      </w:pPr>
      <w:r>
        <w:rPr>
          <w:rFonts w:ascii="Times New Roman" w:hAnsi="Times New Roman" w:eastAsia="楷体_GB2312"/>
          <w:b/>
        </w:rPr>
        <w:t>（</w:t>
      </w:r>
      <w:r>
        <w:rPr>
          <w:rFonts w:hint="eastAsia" w:ascii="Times New Roman" w:hAnsi="Times New Roman" w:eastAsia="楷体_GB2312"/>
          <w:b/>
        </w:rPr>
        <w:t>四</w:t>
      </w:r>
      <w:r>
        <w:rPr>
          <w:rFonts w:ascii="Times New Roman" w:hAnsi="Times New Roman" w:eastAsia="楷体_GB2312"/>
          <w:b/>
        </w:rPr>
        <w:t>）</w:t>
      </w:r>
      <w:r>
        <w:rPr>
          <w:rFonts w:hint="eastAsia" w:ascii="Times New Roman" w:hAnsi="Times New Roman" w:eastAsia="楷体_GB2312"/>
          <w:b/>
        </w:rPr>
        <w:t>瑞泉村</w:t>
      </w:r>
    </w:p>
    <w:p>
      <w:pPr>
        <w:ind w:firstLine="640"/>
      </w:pPr>
      <w:r>
        <w:rPr>
          <w:rFonts w:hint="eastAsia"/>
        </w:rPr>
        <w:t>瑞泉村委会，属于坝区。距离乡政府3.00公里，国土面积13.40平方公里，海拔1100.00米，年平均气温17.00℃，年降水量1462.00毫米。有耕地3179亩，其中人均耕地0.85亩；有林地5937亩。全村辖9个自然村，14个村民小组，有农户898户，3630人。2019年农村经济总收入3358万元，农民人均纯收入7142元。瑞泉村党总支下设9个党支部，共有党员95名。</w:t>
      </w:r>
    </w:p>
    <w:p>
      <w:pPr>
        <w:pStyle w:val="5"/>
        <w:ind w:firstLine="640"/>
      </w:pPr>
      <w:r>
        <w:rPr>
          <w:rFonts w:hint="eastAsia"/>
        </w:rPr>
        <w:t>二、指导思想及编制依据</w:t>
      </w:r>
    </w:p>
    <w:p>
      <w:pPr>
        <w:ind w:firstLine="640"/>
        <w:rPr>
          <w:rFonts w:ascii="仿宋_GB2312" w:hAnsi="仿宋_GB2312"/>
        </w:rPr>
      </w:pPr>
      <w:r>
        <w:rPr>
          <w:rStyle w:val="18"/>
          <w:rFonts w:hint="eastAsia"/>
        </w:rPr>
        <w:t>（一）指导思想。</w:t>
      </w:r>
      <w:r>
        <w:rPr>
          <w:rFonts w:hint="eastAsia" w:ascii="仿宋_GB2312" w:hAnsi="仿宋_GB231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集体经济、增加农民收入，最终实现产业助推脱贫攻坚目标。</w:t>
      </w:r>
    </w:p>
    <w:p>
      <w:pPr>
        <w:ind w:firstLine="640"/>
        <w:rPr>
          <w:rFonts w:ascii="仿宋_GB2312" w:hAnsi="仿宋_GB2312"/>
        </w:rPr>
      </w:pPr>
      <w:r>
        <w:rPr>
          <w:rStyle w:val="18"/>
          <w:rFonts w:hint="eastAsia"/>
        </w:rPr>
        <w:t>（二）编制依据。</w:t>
      </w:r>
      <w:r>
        <w:rPr>
          <w:rFonts w:hint="eastAsia" w:ascii="仿宋_GB2312" w:hAnsi="仿宋_GB2312"/>
        </w:rPr>
        <w:t>《云南省沪滇扶贫协作领导小组办公室转发&lt;关于2020年上海市对口帮扶云南 省项目资金计划安排的预告函〉的通知》（云沪滇办[2020]1号）。</w:t>
      </w:r>
    </w:p>
    <w:p>
      <w:pPr>
        <w:pStyle w:val="5"/>
        <w:ind w:firstLine="640"/>
      </w:pPr>
      <w:r>
        <w:rPr>
          <w:rFonts w:hint="eastAsia"/>
        </w:rPr>
        <w:t>三、项目建设内容和规模</w:t>
      </w:r>
    </w:p>
    <w:p>
      <w:pPr>
        <w:ind w:firstLine="640"/>
        <w:rPr>
          <w:rFonts w:ascii="仿宋_GB2312" w:hAnsi="仿宋_GB2312"/>
        </w:rPr>
      </w:pPr>
      <w:r>
        <w:rPr>
          <w:rStyle w:val="18"/>
          <w:rFonts w:hint="eastAsia"/>
        </w:rPr>
        <w:t>（一）项目名称。</w:t>
      </w:r>
      <w:r>
        <w:rPr>
          <w:rFonts w:hint="eastAsia" w:ascii="仿宋_GB2312" w:hAnsi="仿宋_GB2312"/>
        </w:rPr>
        <w:t>九保九保村联九畜牧生态园大型沼气项目。</w:t>
      </w:r>
    </w:p>
    <w:p>
      <w:pPr>
        <w:ind w:firstLine="640"/>
        <w:rPr>
          <w:rStyle w:val="18"/>
        </w:rPr>
      </w:pPr>
      <w:r>
        <w:rPr>
          <w:rStyle w:val="18"/>
          <w:rFonts w:hint="eastAsia"/>
        </w:rPr>
        <w:t>（二）项目地点：梁河联九农业发展有限公司</w:t>
      </w:r>
    </w:p>
    <w:p>
      <w:pPr>
        <w:ind w:firstLine="640"/>
        <w:rPr>
          <w:rFonts w:ascii="仿宋_GB2312" w:hAnsi="仿宋_GB2312"/>
        </w:rPr>
      </w:pPr>
      <w:r>
        <w:rPr>
          <w:rStyle w:val="18"/>
          <w:rFonts w:hint="eastAsia"/>
        </w:rPr>
        <w:t>（三）项目总投资</w:t>
      </w:r>
      <w:r>
        <w:rPr>
          <w:rFonts w:hint="eastAsia" w:ascii="仿宋_GB2312" w:hAnsi="仿宋_GB2312"/>
        </w:rPr>
        <w:t>。300万元。</w:t>
      </w:r>
    </w:p>
    <w:p>
      <w:pPr>
        <w:ind w:firstLine="640"/>
        <w:rPr>
          <w:rFonts w:ascii="仿宋_GB2312" w:hAnsi="仿宋_GB2312"/>
        </w:rPr>
      </w:pPr>
      <w:r>
        <w:rPr>
          <w:rStyle w:val="18"/>
          <w:rFonts w:hint="eastAsia"/>
        </w:rPr>
        <w:t>（四）项目建设主要内容。</w:t>
      </w:r>
      <w:r>
        <w:rPr>
          <w:rFonts w:hint="eastAsia" w:ascii="仿宋_GB2312" w:hAnsi="仿宋_GB2312"/>
        </w:rPr>
        <w:t>购置安装一套除臭设备及配套设施建设投资（详见附表）。</w:t>
      </w:r>
    </w:p>
    <w:p>
      <w:pPr>
        <w:pStyle w:val="2"/>
        <w:spacing w:line="520" w:lineRule="exact"/>
        <w:ind w:left="0" w:leftChars="0" w:firstLine="0" w:firstLineChars="0"/>
        <w:jc w:val="center"/>
        <w:rPr>
          <w:rFonts w:ascii="仿宋_GB2312" w:hAnsi="仿宋_GB2312" w:cs="仿宋_GB2312"/>
          <w:sz w:val="28"/>
          <w:szCs w:val="28"/>
        </w:rPr>
      </w:pPr>
      <w:r>
        <w:rPr>
          <w:rFonts w:hint="eastAsia" w:ascii="仿宋_GB2312" w:hAnsi="仿宋_GB2312" w:cs="仿宋_GB2312"/>
          <w:sz w:val="28"/>
          <w:szCs w:val="28"/>
        </w:rPr>
        <w:t>除臭设备清单</w:t>
      </w:r>
    </w:p>
    <w:tbl>
      <w:tblPr>
        <w:tblStyle w:val="15"/>
        <w:tblW w:w="8010" w:type="dxa"/>
        <w:jc w:val="center"/>
        <w:tblLayout w:type="fixed"/>
        <w:tblCellMar>
          <w:top w:w="0" w:type="dxa"/>
          <w:left w:w="108" w:type="dxa"/>
          <w:bottom w:w="0" w:type="dxa"/>
          <w:right w:w="108" w:type="dxa"/>
        </w:tblCellMar>
      </w:tblPr>
      <w:tblGrid>
        <w:gridCol w:w="825"/>
        <w:gridCol w:w="2603"/>
        <w:gridCol w:w="2856"/>
        <w:gridCol w:w="894"/>
        <w:gridCol w:w="832"/>
      </w:tblGrid>
      <w:tr>
        <w:tblPrEx>
          <w:tblCellMar>
            <w:top w:w="0" w:type="dxa"/>
            <w:left w:w="108" w:type="dxa"/>
            <w:bottom w:w="0" w:type="dxa"/>
            <w:right w:w="108" w:type="dxa"/>
          </w:tblCellMar>
        </w:tblPrEx>
        <w:trPr>
          <w:trHeight w:val="270"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rPr>
                <w:rFonts w:ascii="仿宋_GB2312" w:hAnsi="仿宋_GB2312"/>
                <w:kern w:val="0"/>
                <w:sz w:val="28"/>
                <w:szCs w:val="28"/>
              </w:rPr>
            </w:pPr>
            <w:r>
              <w:rPr>
                <w:rFonts w:hint="eastAsia" w:ascii="仿宋_GB2312" w:hAnsi="仿宋_GB2312"/>
                <w:kern w:val="0"/>
                <w:sz w:val="28"/>
                <w:szCs w:val="28"/>
              </w:rPr>
              <w:t>序号</w:t>
            </w:r>
          </w:p>
        </w:tc>
        <w:tc>
          <w:tcPr>
            <w:tcW w:w="2603"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设备名称</w:t>
            </w:r>
          </w:p>
        </w:tc>
        <w:tc>
          <w:tcPr>
            <w:tcW w:w="2856"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规格型号</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数量</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单位</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BTF1</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12m×3.0m×3.0m</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活性水设备</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b/>
                <w:bCs/>
                <w:kern w:val="0"/>
                <w:sz w:val="28"/>
                <w:szCs w:val="28"/>
              </w:rPr>
            </w:pPr>
            <w:r>
              <w:rPr>
                <w:rFonts w:hint="eastAsia" w:ascii="仿宋_GB2312" w:hAnsi="仿宋_GB2312"/>
                <w:b/>
                <w:bCs/>
                <w:kern w:val="0"/>
                <w:sz w:val="28"/>
                <w:szCs w:val="28"/>
              </w:rPr>
              <w:t>3</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操作平台</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b/>
                <w:bCs/>
                <w:kern w:val="0"/>
                <w:sz w:val="28"/>
                <w:szCs w:val="28"/>
              </w:rPr>
            </w:pPr>
            <w:r>
              <w:rPr>
                <w:rFonts w:hint="eastAsia" w:ascii="仿宋_GB2312" w:hAnsi="仿宋_GB2312"/>
                <w:b/>
                <w:bCs/>
                <w:kern w:val="0"/>
                <w:sz w:val="28"/>
                <w:szCs w:val="28"/>
              </w:rPr>
              <w:t>4</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紫外线杀菌器</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DN100</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5</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PH计</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540" w:hRule="atLeast"/>
          <w:jc w:val="center"/>
        </w:trPr>
        <w:tc>
          <w:tcPr>
            <w:tcW w:w="82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6</w:t>
            </w:r>
          </w:p>
        </w:tc>
        <w:tc>
          <w:tcPr>
            <w:tcW w:w="2603"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自控系统</w:t>
            </w:r>
          </w:p>
        </w:tc>
        <w:tc>
          <w:tcPr>
            <w:tcW w:w="2856"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包括PIC、触摸屏、控制柜、电缆等</w:t>
            </w:r>
          </w:p>
        </w:tc>
        <w:tc>
          <w:tcPr>
            <w:tcW w:w="894"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32"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bl>
    <w:p>
      <w:pPr>
        <w:pStyle w:val="3"/>
        <w:spacing w:line="520" w:lineRule="exact"/>
        <w:jc w:val="center"/>
        <w:rPr>
          <w:rFonts w:ascii="仿宋_GB2312" w:hAnsi="宋体" w:cs="宋体"/>
          <w:kern w:val="0"/>
          <w:sz w:val="28"/>
          <w:szCs w:val="28"/>
        </w:rPr>
      </w:pPr>
    </w:p>
    <w:p>
      <w:pPr>
        <w:pStyle w:val="3"/>
        <w:spacing w:line="520" w:lineRule="exact"/>
        <w:jc w:val="center"/>
        <w:rPr>
          <w:rFonts w:ascii="仿宋_GB2312" w:hAnsi="宋体" w:cs="宋体"/>
          <w:kern w:val="0"/>
          <w:sz w:val="28"/>
          <w:szCs w:val="28"/>
        </w:rPr>
      </w:pPr>
      <w:r>
        <w:rPr>
          <w:rFonts w:hint="eastAsia" w:ascii="仿宋_GB2312" w:hAnsi="仿宋_GB2312" w:cs="仿宋_GB2312"/>
          <w:sz w:val="28"/>
          <w:szCs w:val="28"/>
        </w:rPr>
        <w:t xml:space="preserve"> 除臭设备配套设施及配件</w:t>
      </w:r>
      <w:r>
        <w:rPr>
          <w:rFonts w:hint="eastAsia" w:ascii="仿宋_GB2312" w:hAnsi="宋体" w:cs="宋体"/>
          <w:kern w:val="0"/>
          <w:sz w:val="28"/>
          <w:szCs w:val="28"/>
        </w:rPr>
        <w:t>清单</w:t>
      </w:r>
    </w:p>
    <w:tbl>
      <w:tblPr>
        <w:tblStyle w:val="15"/>
        <w:tblW w:w="8180" w:type="dxa"/>
        <w:jc w:val="center"/>
        <w:tblLayout w:type="fixed"/>
        <w:tblCellMar>
          <w:top w:w="0" w:type="dxa"/>
          <w:left w:w="108" w:type="dxa"/>
          <w:bottom w:w="0" w:type="dxa"/>
          <w:right w:w="108" w:type="dxa"/>
        </w:tblCellMar>
      </w:tblPr>
      <w:tblGrid>
        <w:gridCol w:w="785"/>
        <w:gridCol w:w="2670"/>
        <w:gridCol w:w="3015"/>
        <w:gridCol w:w="825"/>
        <w:gridCol w:w="885"/>
      </w:tblGrid>
      <w:tr>
        <w:tblPrEx>
          <w:tblCellMar>
            <w:top w:w="0" w:type="dxa"/>
            <w:left w:w="108" w:type="dxa"/>
            <w:bottom w:w="0" w:type="dxa"/>
            <w:right w:w="108" w:type="dxa"/>
          </w:tblCellMar>
        </w:tblPrEx>
        <w:trPr>
          <w:trHeight w:val="44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序号</w:t>
            </w:r>
          </w:p>
        </w:tc>
        <w:tc>
          <w:tcPr>
            <w:tcW w:w="2670"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设备名称</w:t>
            </w:r>
          </w:p>
        </w:tc>
        <w:tc>
          <w:tcPr>
            <w:tcW w:w="301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规格型号</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数量</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单位</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排气筒</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DN500× 15000mm</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个</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集气罩</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200㎡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个</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3</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引风机</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4-72-5A</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4</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污水泵</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FP-30-20-5.5</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3</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台</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5</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PPR管道</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DN500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20</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米</w:t>
            </w:r>
          </w:p>
        </w:tc>
      </w:tr>
      <w:tr>
        <w:tblPrEx>
          <w:tblCellMar>
            <w:top w:w="0" w:type="dxa"/>
            <w:left w:w="108" w:type="dxa"/>
            <w:bottom w:w="0" w:type="dxa"/>
            <w:right w:w="108" w:type="dxa"/>
          </w:tblCellMar>
        </w:tblPrEx>
        <w:trPr>
          <w:trHeight w:val="54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6</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其它管道</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DN200、DN300、DN100</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r>
        <w:tblPrEx>
          <w:tblCellMar>
            <w:top w:w="0" w:type="dxa"/>
            <w:left w:w="108" w:type="dxa"/>
            <w:bottom w:w="0" w:type="dxa"/>
            <w:right w:w="108" w:type="dxa"/>
          </w:tblCellMar>
        </w:tblPrEx>
        <w:trPr>
          <w:trHeight w:val="270" w:hRule="atLeast"/>
          <w:jc w:val="center"/>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7</w:t>
            </w:r>
          </w:p>
        </w:tc>
        <w:tc>
          <w:tcPr>
            <w:tcW w:w="2670"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管道配件</w:t>
            </w:r>
          </w:p>
        </w:tc>
        <w:tc>
          <w:tcPr>
            <w:tcW w:w="301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left"/>
              <w:rPr>
                <w:rFonts w:ascii="仿宋_GB2312" w:hAnsi="仿宋_GB2312"/>
                <w:kern w:val="0"/>
                <w:sz w:val="28"/>
                <w:szCs w:val="28"/>
              </w:rPr>
            </w:pPr>
            <w:r>
              <w:rPr>
                <w:rFonts w:hint="eastAsia" w:ascii="仿宋_GB2312" w:hAnsi="仿宋_GB2312"/>
                <w:kern w:val="0"/>
                <w:sz w:val="28"/>
                <w:szCs w:val="28"/>
              </w:rPr>
              <w:t>　</w:t>
            </w:r>
          </w:p>
        </w:tc>
        <w:tc>
          <w:tcPr>
            <w:tcW w:w="82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1</w:t>
            </w:r>
          </w:p>
        </w:tc>
        <w:tc>
          <w:tcPr>
            <w:tcW w:w="885" w:type="dxa"/>
            <w:tcBorders>
              <w:top w:val="nil"/>
              <w:left w:val="nil"/>
              <w:bottom w:val="single" w:color="auto" w:sz="4" w:space="0"/>
              <w:right w:val="single" w:color="auto" w:sz="4" w:space="0"/>
            </w:tcBorders>
            <w:shd w:val="clear" w:color="auto" w:fill="auto"/>
            <w:vAlign w:val="center"/>
          </w:tcPr>
          <w:p>
            <w:pPr>
              <w:widowControl/>
              <w:spacing w:line="520" w:lineRule="exact"/>
              <w:ind w:firstLine="0" w:firstLineChars="0"/>
              <w:jc w:val="center"/>
              <w:rPr>
                <w:rFonts w:ascii="仿宋_GB2312" w:hAnsi="仿宋_GB2312"/>
                <w:kern w:val="0"/>
                <w:sz w:val="28"/>
                <w:szCs w:val="28"/>
              </w:rPr>
            </w:pPr>
            <w:r>
              <w:rPr>
                <w:rFonts w:hint="eastAsia" w:ascii="仿宋_GB2312" w:hAnsi="仿宋_GB2312"/>
                <w:kern w:val="0"/>
                <w:sz w:val="28"/>
                <w:szCs w:val="28"/>
              </w:rPr>
              <w:t>套</w:t>
            </w:r>
          </w:p>
        </w:tc>
      </w:tr>
    </w:tbl>
    <w:p>
      <w:pPr>
        <w:pStyle w:val="5"/>
        <w:ind w:firstLine="640"/>
      </w:pPr>
      <w:r>
        <w:rPr>
          <w:rFonts w:hint="eastAsia"/>
        </w:rPr>
        <w:t>四、项目建设时限及进度</w:t>
      </w:r>
    </w:p>
    <w:p>
      <w:pPr>
        <w:ind w:firstLine="640"/>
        <w:rPr>
          <w:rFonts w:ascii="仿宋_GB2312" w:hAnsi="仿宋_GB2312"/>
        </w:rPr>
      </w:pPr>
      <w:r>
        <w:rPr>
          <w:rStyle w:val="18"/>
          <w:rFonts w:hint="eastAsia"/>
        </w:rPr>
        <w:t>（一）建设时限：</w:t>
      </w:r>
      <w:r>
        <w:rPr>
          <w:rFonts w:hint="eastAsia" w:ascii="仿宋_GB2312" w:hAnsi="仿宋_GB2312"/>
        </w:rPr>
        <w:t>2020年3月—2020年6月。</w:t>
      </w:r>
    </w:p>
    <w:p>
      <w:pPr>
        <w:ind w:firstLine="640"/>
        <w:rPr>
          <w:rFonts w:ascii="仿宋_GB2312" w:hAnsi="仿宋_GB2312"/>
        </w:rPr>
      </w:pPr>
      <w:r>
        <w:rPr>
          <w:rStyle w:val="18"/>
          <w:rFonts w:hint="eastAsia"/>
        </w:rPr>
        <w:t>（二）建设进度：</w:t>
      </w:r>
      <w:r>
        <w:rPr>
          <w:rFonts w:hint="eastAsia" w:ascii="仿宋_GB2312" w:hAnsi="仿宋_GB2312"/>
        </w:rPr>
        <w:t>2020年3月编制实施方案；2020年6月项目实施结束。</w:t>
      </w:r>
    </w:p>
    <w:p>
      <w:pPr>
        <w:pStyle w:val="5"/>
        <w:ind w:firstLine="640"/>
      </w:pPr>
      <w:r>
        <w:rPr>
          <w:rFonts w:hint="eastAsia"/>
        </w:rPr>
        <w:t>五、项目采用的利益链接模式</w:t>
      </w:r>
    </w:p>
    <w:p>
      <w:pPr>
        <w:ind w:firstLine="640"/>
        <w:rPr>
          <w:rFonts w:ascii="仿宋_GB2312" w:hAnsi="仿宋_GB2312"/>
        </w:rPr>
      </w:pPr>
      <w:r>
        <w:rPr>
          <w:rFonts w:hint="eastAsia" w:ascii="仿宋_GB2312" w:hAnsi="仿宋_GB2312"/>
        </w:rPr>
        <w:t>项目建成后，上海帮扶资金投入形成的资产归村集体所有，采取“村集体+企业”的合作模式，将上海帮扶资金投入形成的资产出租给企业统一管理运行，每年租金按照项目投资的4%交村集体，预计壮大5个村集体经济，带动36户133人建档立卡贫困群众就业增收脱贫。</w:t>
      </w:r>
    </w:p>
    <w:p>
      <w:pPr>
        <w:pStyle w:val="5"/>
        <w:ind w:firstLine="640"/>
      </w:pPr>
      <w:r>
        <w:rPr>
          <w:rFonts w:hint="eastAsia"/>
        </w:rPr>
        <w:t>六、项目资金来源及补助环节</w:t>
      </w:r>
    </w:p>
    <w:p>
      <w:pPr>
        <w:ind w:firstLine="640"/>
        <w:rPr>
          <w:rFonts w:ascii="仿宋_GB2312" w:hAnsi="仿宋_GB2312"/>
        </w:rPr>
      </w:pPr>
      <w:r>
        <w:rPr>
          <w:rStyle w:val="18"/>
          <w:rFonts w:hint="eastAsia"/>
        </w:rPr>
        <w:t>（一）资金来源：</w:t>
      </w:r>
      <w:r>
        <w:rPr>
          <w:rFonts w:hint="eastAsia" w:ascii="仿宋_GB2312" w:hAnsi="仿宋_GB2312"/>
        </w:rPr>
        <w:t>上海对口支援帮扶资金300万元。</w:t>
      </w:r>
    </w:p>
    <w:p>
      <w:pPr>
        <w:pStyle w:val="6"/>
        <w:ind w:firstLine="640"/>
      </w:pPr>
      <w:r>
        <w:rPr>
          <w:rFonts w:hint="eastAsia"/>
        </w:rPr>
        <w:t>（二）资金拨付及补助环节。</w:t>
      </w:r>
    </w:p>
    <w:p>
      <w:pPr>
        <w:ind w:firstLine="640"/>
        <w:rPr>
          <w:rFonts w:ascii="仿宋_GB2312" w:hAnsi="仿宋_GB2312"/>
        </w:rPr>
      </w:pPr>
      <w:r>
        <w:rPr>
          <w:rFonts w:hint="eastAsia" w:ascii="仿宋_GB2312" w:hAnsi="仿宋_GB2312"/>
        </w:rPr>
        <w:t>1.资金拨付。由县级财政局将项目资金300万元，拨付到县农业农村局。项目实行报账制，项目实施完成后，由项目施工单位提出验收申请，项目验收合格后拨付资金。</w:t>
      </w:r>
    </w:p>
    <w:p>
      <w:pPr>
        <w:ind w:firstLine="640"/>
        <w:rPr>
          <w:rFonts w:ascii="仿宋_GB2312" w:hAnsi="仿宋_GB2312"/>
        </w:rPr>
      </w:pPr>
      <w:r>
        <w:rPr>
          <w:rFonts w:hint="eastAsia" w:ascii="仿宋_GB2312" w:hAnsi="仿宋_GB2312"/>
        </w:rPr>
        <w:t>2.补助环节。</w:t>
      </w:r>
    </w:p>
    <w:p>
      <w:pPr>
        <w:ind w:firstLine="640"/>
        <w:rPr>
          <w:rFonts w:ascii="仿宋_GB2312" w:hAnsi="仿宋_GB2312"/>
        </w:rPr>
      </w:pPr>
      <w:r>
        <w:rPr>
          <w:rFonts w:hint="eastAsia" w:ascii="仿宋_GB2312" w:hAnsi="仿宋_GB2312"/>
        </w:rPr>
        <w:t>（1）项目管理费按1%提取，计3万元，主要用于监理等费用支出。</w:t>
      </w:r>
    </w:p>
    <w:p>
      <w:pPr>
        <w:ind w:firstLine="640"/>
        <w:rPr>
          <w:rFonts w:ascii="仿宋_GB2312" w:hAnsi="仿宋_GB2312"/>
          <w:sz w:val="28"/>
          <w:szCs w:val="28"/>
        </w:rPr>
      </w:pPr>
      <w:r>
        <w:rPr>
          <w:rFonts w:hint="eastAsia"/>
        </w:rPr>
        <w:t>（2）除臭设备1套（详见附表）补助258万元，</w:t>
      </w:r>
      <w:r>
        <w:rPr>
          <w:rFonts w:hint="eastAsia" w:ascii="仿宋_GB2312" w:hAnsi="仿宋_GB2312"/>
          <w:sz w:val="28"/>
          <w:szCs w:val="28"/>
        </w:rPr>
        <w:t>除</w:t>
      </w:r>
      <w:r>
        <w:rPr>
          <w:rFonts w:hint="eastAsia"/>
        </w:rPr>
        <w:t>臭设备配套设施及配件补助（详见附表）补助39万元，合计补助297万元，实际产品规格及相关技术参数，以实际中标为准。</w:t>
      </w:r>
    </w:p>
    <w:p>
      <w:pPr>
        <w:pStyle w:val="5"/>
        <w:ind w:firstLine="640"/>
      </w:pPr>
      <w:r>
        <w:rPr>
          <w:rFonts w:hint="eastAsia"/>
        </w:rPr>
        <w:t>七、项目组织管理</w:t>
      </w:r>
    </w:p>
    <w:p>
      <w:pPr>
        <w:ind w:firstLine="640"/>
        <w:rPr>
          <w:rFonts w:ascii="仿宋_GB2312" w:hAnsi="仿宋_GB2312"/>
        </w:rPr>
      </w:pPr>
      <w:r>
        <w:rPr>
          <w:rStyle w:val="18"/>
          <w:rFonts w:hint="eastAsia"/>
        </w:rPr>
        <w:t>（一）组织机构。</w:t>
      </w:r>
      <w:r>
        <w:rPr>
          <w:rFonts w:hint="eastAsia" w:ascii="仿宋_GB2312" w:hAnsi="仿宋_GB2312"/>
        </w:rPr>
        <w:t>为切实抓好项目的组织实施，确保各项建设内容及目标任务圆满完成，成立项目实施工作领导小组。</w:t>
      </w:r>
    </w:p>
    <w:p>
      <w:pPr>
        <w:ind w:firstLine="640"/>
        <w:rPr>
          <w:rFonts w:ascii="仿宋_GB2312" w:hAnsi="仿宋_GB2312"/>
        </w:rPr>
      </w:pPr>
      <w:r>
        <w:rPr>
          <w:rFonts w:hint="eastAsia" w:ascii="仿宋_GB2312" w:hAnsi="仿宋_GB2312"/>
        </w:rPr>
        <w:t>组  长：杨荣富  县农业农村局局长</w:t>
      </w:r>
    </w:p>
    <w:p>
      <w:pPr>
        <w:ind w:firstLine="640"/>
        <w:rPr>
          <w:rFonts w:ascii="仿宋_GB2312" w:hAnsi="仿宋_GB2312"/>
        </w:rPr>
      </w:pPr>
      <w:r>
        <w:rPr>
          <w:rFonts w:hint="eastAsia" w:ascii="仿宋_GB2312" w:hAnsi="仿宋_GB2312"/>
        </w:rPr>
        <w:t>副组长：梁愿昌  县农业农村局正科级</w:t>
      </w:r>
    </w:p>
    <w:p>
      <w:pPr>
        <w:ind w:firstLine="640"/>
        <w:rPr>
          <w:rFonts w:ascii="仿宋_GB2312" w:hAnsi="仿宋_GB2312"/>
        </w:rPr>
      </w:pPr>
      <w:r>
        <w:rPr>
          <w:rFonts w:hint="eastAsia" w:ascii="仿宋_GB2312" w:hAnsi="仿宋_GB2312"/>
        </w:rPr>
        <w:t xml:space="preserve">        梁兆帆  县扶贫办副主任</w:t>
      </w:r>
    </w:p>
    <w:p>
      <w:pPr>
        <w:ind w:firstLine="640"/>
      </w:pPr>
      <w:r>
        <w:rPr>
          <w:rFonts w:hint="eastAsia" w:ascii="仿宋_GB2312" w:hAnsi="仿宋_GB2312"/>
        </w:rPr>
        <w:t xml:space="preserve">        林春法  梁河联九农业发展有限公司董事长</w:t>
      </w:r>
    </w:p>
    <w:p>
      <w:pPr>
        <w:ind w:firstLine="640"/>
        <w:rPr>
          <w:rFonts w:ascii="仿宋_GB2312" w:hAnsi="仿宋_GB2312"/>
        </w:rPr>
      </w:pPr>
      <w:r>
        <w:rPr>
          <w:rFonts w:hint="eastAsia" w:ascii="仿宋_GB2312" w:hAnsi="仿宋_GB2312"/>
        </w:rPr>
        <w:t>成  员：梁昌才  九保阿昌族乡乡长</w:t>
      </w:r>
    </w:p>
    <w:p>
      <w:pPr>
        <w:ind w:firstLine="640"/>
        <w:rPr>
          <w:rFonts w:ascii="仿宋_GB2312" w:hAnsi="仿宋_GB2312"/>
        </w:rPr>
      </w:pPr>
      <w:r>
        <w:rPr>
          <w:rFonts w:hint="eastAsia" w:ascii="仿宋_GB2312" w:hAnsi="仿宋_GB2312"/>
        </w:rPr>
        <w:t xml:space="preserve">        尹叶邦  小厂乡乡长</w:t>
      </w:r>
    </w:p>
    <w:p>
      <w:pPr>
        <w:ind w:firstLine="640"/>
        <w:rPr>
          <w:rFonts w:ascii="仿宋_GB2312" w:hAnsi="仿宋_GB2312"/>
        </w:rPr>
      </w:pPr>
      <w:r>
        <w:rPr>
          <w:rFonts w:hint="eastAsia" w:ascii="仿宋_GB2312" w:hAnsi="仿宋_GB2312"/>
        </w:rPr>
        <w:t xml:space="preserve">        杨枝谨  曩宋阿昌族乡乡长</w:t>
      </w:r>
    </w:p>
    <w:p>
      <w:pPr>
        <w:ind w:firstLine="1920" w:firstLineChars="600"/>
        <w:rPr>
          <w:rFonts w:ascii="仿宋_GB2312" w:hAnsi="仿宋_GB2312"/>
        </w:rPr>
      </w:pPr>
      <w:r>
        <w:rPr>
          <w:rFonts w:hint="eastAsia" w:ascii="仿宋_GB2312" w:hAnsi="仿宋_GB2312"/>
        </w:rPr>
        <w:t>徐刚孺  梁河县畜牧站站长</w:t>
      </w:r>
    </w:p>
    <w:p>
      <w:pPr>
        <w:ind w:firstLine="1920" w:firstLineChars="600"/>
        <w:rPr>
          <w:rFonts w:ascii="仿宋_GB2312" w:hAnsi="仿宋_GB2312"/>
        </w:rPr>
      </w:pPr>
      <w:r>
        <w:rPr>
          <w:rFonts w:hint="eastAsia" w:ascii="仿宋_GB2312" w:hAnsi="仿宋_GB2312"/>
        </w:rPr>
        <w:t>钏助超  梁河县畜牧站副站长</w:t>
      </w:r>
    </w:p>
    <w:p>
      <w:pPr>
        <w:ind w:firstLine="1920" w:firstLineChars="600"/>
        <w:rPr>
          <w:rFonts w:ascii="仿宋_GB2312" w:hAnsi="仿宋_GB2312"/>
        </w:rPr>
      </w:pPr>
      <w:r>
        <w:rPr>
          <w:rFonts w:hint="eastAsia" w:ascii="仿宋_GB2312" w:hAnsi="仿宋_GB2312"/>
        </w:rPr>
        <w:t>申爱华  梁河县畜牧站副站长</w:t>
      </w:r>
    </w:p>
    <w:p>
      <w:pPr>
        <w:ind w:firstLine="640"/>
        <w:rPr>
          <w:rFonts w:ascii="仿宋_GB2312" w:hAnsi="仿宋_GB2312"/>
        </w:rPr>
      </w:pPr>
      <w:r>
        <w:rPr>
          <w:rFonts w:hint="eastAsia" w:ascii="仿宋_GB2312" w:hAnsi="仿宋_GB2312"/>
        </w:rPr>
        <w:t>领导小组办公室下设于梁河县农业农村局，办公室主任由梁愿昌兼任，成员从相关部门抽调，办公室的主要职责：编制项目实施方案，统筹协调各项工作，并做好项目实施的监督、督促工作。</w:t>
      </w:r>
    </w:p>
    <w:p>
      <w:pPr>
        <w:pStyle w:val="6"/>
        <w:ind w:firstLine="640"/>
      </w:pPr>
      <w:r>
        <w:rPr>
          <w:rFonts w:hint="eastAsia"/>
        </w:rPr>
        <w:t>（二）项目管理。</w:t>
      </w:r>
    </w:p>
    <w:p>
      <w:pPr>
        <w:ind w:firstLine="640"/>
        <w:rPr>
          <w:rFonts w:ascii="仿宋_GB2312" w:hAnsi="仿宋_GB2312"/>
        </w:rPr>
      </w:pPr>
      <w:r>
        <w:rPr>
          <w:rFonts w:hint="eastAsia" w:ascii="仿宋_GB2312" w:hAnsi="仿宋_GB2312"/>
        </w:rPr>
        <w:t>1.县农业农村局负责项目的组织实施，严格按照相关项目资金管理使用，做好项目实施的监督检查。</w:t>
      </w:r>
    </w:p>
    <w:p>
      <w:pPr>
        <w:ind w:firstLine="640"/>
        <w:rPr>
          <w:rFonts w:ascii="仿宋_GB2312" w:hAnsi="仿宋_GB2312"/>
        </w:rPr>
      </w:pPr>
      <w:r>
        <w:rPr>
          <w:rFonts w:hint="eastAsia" w:ascii="仿宋_GB2312" w:hAnsi="仿宋_GB2312"/>
        </w:rPr>
        <w:t>2.县扶贫办负责项目协调指导工作，做好项目的相关服务工作，做好项目实施的监督检查。</w:t>
      </w:r>
    </w:p>
    <w:p>
      <w:pPr>
        <w:ind w:firstLine="640"/>
        <w:rPr>
          <w:rFonts w:ascii="仿宋_GB2312" w:hAnsi="仿宋_GB2312"/>
        </w:rPr>
      </w:pPr>
      <w:r>
        <w:rPr>
          <w:rFonts w:hint="eastAsia" w:ascii="仿宋_GB2312" w:hAnsi="仿宋_GB2312"/>
        </w:rPr>
        <w:t>3.州生态</w:t>
      </w:r>
      <w:r>
        <w:rPr>
          <w:rFonts w:hint="eastAsia" w:ascii="仿宋_GB2312" w:hAnsi="仿宋_GB2312"/>
          <w:lang w:eastAsia="zh-CN"/>
        </w:rPr>
        <w:t>环境</w:t>
      </w:r>
      <w:r>
        <w:rPr>
          <w:rFonts w:hint="eastAsia" w:ascii="仿宋_GB2312" w:hAnsi="仿宋_GB2312"/>
        </w:rPr>
        <w:t>局梁河分局积极履行单位职责，配合做好项目实施。</w:t>
      </w:r>
    </w:p>
    <w:p>
      <w:pPr>
        <w:ind w:firstLine="640"/>
        <w:rPr>
          <w:rFonts w:ascii="仿宋_GB2312" w:hAnsi="仿宋_GB2312"/>
        </w:rPr>
      </w:pPr>
      <w:r>
        <w:rPr>
          <w:rFonts w:hint="eastAsia" w:ascii="仿宋_GB2312" w:hAnsi="仿宋_GB2312"/>
        </w:rPr>
        <w:t>4.县财政局</w:t>
      </w:r>
      <w:bookmarkStart w:id="0" w:name="_GoBack"/>
      <w:bookmarkEnd w:id="0"/>
      <w:r>
        <w:rPr>
          <w:rFonts w:hint="eastAsia" w:ascii="仿宋_GB2312" w:hAnsi="仿宋_GB2312"/>
        </w:rPr>
        <w:t>负责项目资金的监督管理，根据要求及时下达项目资金，确保项目专款专用，严禁挪用、拖欠、挤占和改变资金用途。</w:t>
      </w:r>
    </w:p>
    <w:p>
      <w:pPr>
        <w:ind w:firstLine="640"/>
        <w:rPr>
          <w:rFonts w:ascii="仿宋_GB2312" w:hAnsi="仿宋_GB2312"/>
        </w:rPr>
      </w:pPr>
      <w:r>
        <w:rPr>
          <w:rFonts w:hint="eastAsia" w:ascii="仿宋_GB2312" w:hAnsi="仿宋_GB2312"/>
        </w:rPr>
        <w:t>5.县审计局根据项目实施情况，及时做好项目审计工作。</w:t>
      </w:r>
    </w:p>
    <w:p>
      <w:pPr>
        <w:ind w:firstLine="640"/>
        <w:rPr>
          <w:rFonts w:ascii="仿宋_GB2312" w:hAnsi="仿宋_GB2312"/>
        </w:rPr>
      </w:pPr>
      <w:r>
        <w:rPr>
          <w:rFonts w:hint="eastAsia" w:ascii="仿宋_GB2312" w:hAnsi="仿宋_GB2312"/>
        </w:rPr>
        <w:t>6.梁河联九农业发展有限公司负责项目的具体组织实施工作，与村集体签订出租协议书，带动36户建档立卡户，并免费提供技术指导服务工作。</w:t>
      </w:r>
    </w:p>
    <w:p>
      <w:pPr>
        <w:pStyle w:val="5"/>
        <w:ind w:firstLine="640"/>
      </w:pPr>
      <w:r>
        <w:rPr>
          <w:rFonts w:hint="eastAsia"/>
        </w:rPr>
        <w:t>八、主要技术措施</w:t>
      </w:r>
    </w:p>
    <w:p>
      <w:pPr>
        <w:ind w:firstLine="640"/>
        <w:rPr>
          <w:rFonts w:ascii="仿宋_GB2312" w:hAnsi="仿宋_GB2312"/>
        </w:rPr>
      </w:pPr>
      <w:r>
        <w:rPr>
          <w:rFonts w:hint="eastAsia" w:ascii="仿宋_GB2312" w:hAnsi="仿宋_GB2312"/>
        </w:rPr>
        <w:t>本项目采用应用技术先进成熟的有组织废气生物技术处理设备和无组织废气活性水处理设备与沼气灌管道链接共同作用，达到无害化、零污染、零排放养殖臭气处理目的。</w:t>
      </w:r>
    </w:p>
    <w:p>
      <w:pPr>
        <w:ind w:firstLine="640"/>
        <w:rPr>
          <w:rFonts w:ascii="仿宋_GB2312" w:hAnsi="仿宋_GB2312"/>
        </w:rPr>
      </w:pPr>
      <w:r>
        <w:rPr>
          <w:rFonts w:hint="eastAsia" w:ascii="仿宋_GB2312" w:hAnsi="仿宋_GB2312"/>
        </w:rPr>
        <w:t>1、设备工作原理：设计采用珑池泉活性水设备，通过内部高能量活性材料多级活性，将常态下的大型团状或链状水分子团分解为小型团状的六角环形活性水。珑池泉活性水渗透力强，溶解性好，去污力强，具有促进动物的消化吸收和卓越的清洗、杀菌、除臭等功能；用于喂养生猪。冲洗栏舍，冲洗场地，就能起到减臭增效的显著效果实现无害化、零污染、零排放养殖臭气处理目的。</w:t>
      </w:r>
    </w:p>
    <w:p>
      <w:pPr>
        <w:pStyle w:val="3"/>
        <w:ind w:firstLine="640" w:firstLineChars="200"/>
        <w:rPr>
          <w:rFonts w:ascii="仿宋_GB2312" w:hAnsi="仿宋_GB2312" w:cs="仿宋_GB2312"/>
          <w:szCs w:val="32"/>
        </w:rPr>
      </w:pPr>
      <w:r>
        <w:rPr>
          <w:rFonts w:hint="eastAsia" w:ascii="仿宋_GB2312" w:hAnsi="仿宋_GB2312" w:cs="仿宋_GB2312"/>
          <w:szCs w:val="32"/>
        </w:rPr>
        <w:t>2、设计废气组成分布</w:t>
      </w:r>
    </w:p>
    <w:p>
      <w:pPr>
        <w:pStyle w:val="2"/>
        <w:spacing w:after="0" w:line="240" w:lineRule="auto"/>
        <w:ind w:left="0" w:leftChars="0" w:firstLine="0" w:firstLineChars="0"/>
        <w:jc w:val="center"/>
        <w:rPr>
          <w:rFonts w:ascii="仿宋_GB2312" w:hAnsi="仿宋_GB2312" w:cs="仿宋_GB2312"/>
          <w:szCs w:val="32"/>
        </w:rPr>
      </w:pPr>
      <w:r>
        <w:rPr>
          <w:rFonts w:hint="eastAsia" w:ascii="仿宋_GB2312" w:hAnsi="仿宋_GB2312" w:cs="仿宋_GB2312"/>
          <w:szCs w:val="32"/>
        </w:rPr>
        <w:t>无组织废气组分分布表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指标</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H2S</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NH3</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单位</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浓度</w:t>
            </w:r>
          </w:p>
        </w:tc>
        <w:tc>
          <w:tcPr>
            <w:tcW w:w="2130"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0.1</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8.0</w:t>
            </w:r>
          </w:p>
        </w:tc>
        <w:tc>
          <w:tcPr>
            <w:tcW w:w="2131" w:type="dxa"/>
          </w:tcPr>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200</w:t>
            </w:r>
          </w:p>
        </w:tc>
      </w:tr>
    </w:tbl>
    <w:p>
      <w:pPr>
        <w:pStyle w:val="3"/>
        <w:jc w:val="center"/>
        <w:rPr>
          <w:rFonts w:ascii="仿宋_GB2312" w:hAnsi="仿宋_GB2312" w:cs="仿宋_GB2312"/>
          <w:szCs w:val="32"/>
        </w:rPr>
      </w:pPr>
      <w:r>
        <w:rPr>
          <w:rFonts w:hint="eastAsia" w:ascii="仿宋_GB2312" w:hAnsi="仿宋_GB2312" w:cs="仿宋_GB2312"/>
          <w:szCs w:val="32"/>
        </w:rPr>
        <w:t>有组织废气组分分布表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指标</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H2S</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NH3</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mg/m³</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mg/m³</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浓度</w:t>
            </w:r>
          </w:p>
        </w:tc>
        <w:tc>
          <w:tcPr>
            <w:tcW w:w="2130"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80</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131" w:type="dxa"/>
          </w:tcPr>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4000</w:t>
            </w:r>
          </w:p>
        </w:tc>
      </w:tr>
    </w:tbl>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3、设计废气组成</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有组织废气的废气量，根据污水处理设施和粪便发酵设施规模，经过核算设备容量，合计设计废气量为12000m³/h。</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4、排放标准</w:t>
      </w:r>
    </w:p>
    <w:p>
      <w:pPr>
        <w:pStyle w:val="3"/>
        <w:spacing w:after="0" w:line="240" w:lineRule="auto"/>
        <w:ind w:firstLine="640" w:firstLineChars="200"/>
        <w:rPr>
          <w:rFonts w:ascii="仿宋_GB2312" w:hAnsi="仿宋_GB2312" w:cs="仿宋_GB2312"/>
          <w:szCs w:val="32"/>
        </w:rPr>
      </w:pPr>
      <w:r>
        <w:rPr>
          <w:rFonts w:hint="eastAsia" w:ascii="仿宋_GB2312" w:hAnsi="仿宋_GB2312" w:cs="仿宋_GB2312"/>
          <w:szCs w:val="32"/>
        </w:rPr>
        <w:t>净化废气要求达到《恶臭污染物综合排放标准》（GB14554-1993）、《城镇污水处理厂污染物排放标准》（GB189918-2002）二级排放标准。见有关的废气恶臭污染物排放控制标准表。</w:t>
      </w:r>
    </w:p>
    <w:p>
      <w:pPr>
        <w:pStyle w:val="3"/>
        <w:spacing w:after="0" w:line="240" w:lineRule="auto"/>
        <w:ind w:firstLine="640" w:firstLineChars="200"/>
        <w:jc w:val="center"/>
        <w:rPr>
          <w:rFonts w:ascii="仿宋_GB2312" w:hAnsi="仿宋_GB2312" w:cs="仿宋_GB2312"/>
          <w:szCs w:val="32"/>
        </w:rPr>
      </w:pPr>
      <w:r>
        <w:rPr>
          <w:rFonts w:hint="eastAsia" w:ascii="仿宋_GB2312" w:hAnsi="仿宋_GB2312" w:cs="仿宋_GB2312"/>
          <w:szCs w:val="32"/>
        </w:rPr>
        <w:t>废气恶臭污染物排放控制标准表。</w:t>
      </w:r>
    </w:p>
    <w:tbl>
      <w:tblPr>
        <w:tblStyle w:val="16"/>
        <w:tblW w:w="9735"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057"/>
        <w:gridCol w:w="960"/>
        <w:gridCol w:w="309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指标</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H2S</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NH3</w:t>
            </w:r>
          </w:p>
        </w:tc>
        <w:tc>
          <w:tcPr>
            <w:tcW w:w="3096"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臭气浓度（无量纲）</w:t>
            </w:r>
          </w:p>
        </w:tc>
        <w:tc>
          <w:tcPr>
            <w:tcW w:w="2889"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厂界浓度（mg/m³）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0.06</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w:t>
            </w:r>
          </w:p>
        </w:tc>
        <w:tc>
          <w:tcPr>
            <w:tcW w:w="2889" w:type="dxa"/>
          </w:tcPr>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（GB189918-2002）二级标准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厂界浓度（mg/m³）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0.06</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w:t>
            </w:r>
          </w:p>
        </w:tc>
        <w:tc>
          <w:tcPr>
            <w:tcW w:w="2889" w:type="dxa"/>
          </w:tcPr>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560" w:leftChars="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污染物排放速率（kg/h)</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0.33</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4.9</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2000</w:t>
            </w:r>
          </w:p>
        </w:tc>
        <w:tc>
          <w:tcPr>
            <w:tcW w:w="2889"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0" w:leftChars="0"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排气筒高15m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处理后浓度</w:t>
            </w:r>
          </w:p>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（mg/m³）</w:t>
            </w:r>
          </w:p>
        </w:tc>
        <w:tc>
          <w:tcPr>
            <w:tcW w:w="1057"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&lt;27.5</w:t>
            </w:r>
          </w:p>
        </w:tc>
        <w:tc>
          <w:tcPr>
            <w:tcW w:w="960"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&lt;408</w:t>
            </w:r>
          </w:p>
        </w:tc>
        <w:tc>
          <w:tcPr>
            <w:tcW w:w="3096" w:type="dxa"/>
          </w:tcPr>
          <w:p>
            <w:pPr>
              <w:pStyle w:val="2"/>
              <w:ind w:left="1200" w:hanging="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&lt;2000</w:t>
            </w:r>
          </w:p>
        </w:tc>
        <w:tc>
          <w:tcPr>
            <w:tcW w:w="2889" w:type="dxa"/>
          </w:tcPr>
          <w:p>
            <w:pPr>
              <w:pStyle w:val="2"/>
              <w:ind w:left="0" w:leftChars="0" w:firstLine="0" w:firstLineChars="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（GB14554-1993）</w:t>
            </w:r>
          </w:p>
          <w:p>
            <w:pPr>
              <w:pStyle w:val="2"/>
              <w:ind w:left="0" w:leftChars="0"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排气筒高15m</w:t>
            </w:r>
          </w:p>
        </w:tc>
      </w:tr>
    </w:tbl>
    <w:p>
      <w:pPr>
        <w:pStyle w:val="5"/>
        <w:ind w:firstLine="640"/>
      </w:pPr>
      <w:r>
        <w:rPr>
          <w:rFonts w:hint="eastAsia"/>
        </w:rPr>
        <w:t>九、效益分析</w:t>
      </w:r>
    </w:p>
    <w:p>
      <w:pPr>
        <w:pStyle w:val="6"/>
        <w:ind w:firstLine="320" w:firstLineChars="100"/>
      </w:pPr>
      <w:r>
        <w:rPr>
          <w:rFonts w:hint="eastAsia"/>
        </w:rPr>
        <w:t>（一）经济效益</w:t>
      </w:r>
    </w:p>
    <w:p>
      <w:pPr>
        <w:ind w:firstLine="640"/>
      </w:pPr>
      <w:r>
        <w:rPr>
          <w:rFonts w:hint="eastAsia"/>
        </w:rPr>
        <w:t>由于该技术设备有效实现养殖区环境氨、硫化氢、刺激物、过敏原和挥发性有机物等，大幅度减少了畜禽病死率，促进生猪健康生长、快乐生长，提供了育成率和饲料利用转化率，从而提高了养殖企业的饲养经济效益。</w:t>
      </w:r>
    </w:p>
    <w:p>
      <w:pPr>
        <w:pStyle w:val="6"/>
        <w:ind w:firstLine="640"/>
      </w:pPr>
      <w:r>
        <w:rPr>
          <w:rFonts w:hint="eastAsia"/>
        </w:rPr>
        <w:t>（二）社会效益</w:t>
      </w:r>
    </w:p>
    <w:p>
      <w:pPr>
        <w:ind w:firstLine="640"/>
        <w:rPr>
          <w:rFonts w:ascii="仿宋_GB2312" w:hAnsi="仿宋_GB2312"/>
        </w:rPr>
      </w:pPr>
      <w:r>
        <w:rPr>
          <w:rFonts w:hint="eastAsia" w:ascii="仿宋_GB2312" w:hAnsi="仿宋_GB2312"/>
        </w:rPr>
        <w:t>通过该项目的实施，可带动农村经济产业的发展。从而促进农村产业结构调整的步伐，培育经济增长点，加快项目区预脱贫户脱贫致富步伐。</w:t>
      </w:r>
    </w:p>
    <w:p>
      <w:pPr>
        <w:pStyle w:val="6"/>
        <w:ind w:firstLine="640"/>
      </w:pPr>
      <w:r>
        <w:rPr>
          <w:rFonts w:hint="eastAsia"/>
        </w:rPr>
        <w:t>（三）生态效益</w:t>
      </w:r>
    </w:p>
    <w:p>
      <w:pPr>
        <w:ind w:firstLine="640"/>
        <w:rPr>
          <w:rFonts w:ascii="仿宋_GB2312" w:hAnsi="仿宋_GB2312"/>
        </w:rPr>
      </w:pPr>
      <w:r>
        <w:rPr>
          <w:rFonts w:hint="eastAsia" w:ascii="仿宋_GB2312" w:hAnsi="仿宋_GB2312"/>
        </w:rPr>
        <w:t>养殖业的发展可提供大量的有机肥料，能够改善土壤，提高农作物产量。除臭设备的应用减少了生猪养殖产生的</w:t>
      </w:r>
      <w:r>
        <w:rPr>
          <w:rFonts w:hint="eastAsia"/>
        </w:rPr>
        <w:t>氨、硫化氢、刺激物、过敏原和挥发性有机物的排放，排放量达12000m³/h，</w:t>
      </w:r>
      <w:r>
        <w:rPr>
          <w:rFonts w:hint="eastAsia" w:ascii="仿宋_GB2312" w:hAnsi="仿宋_GB2312"/>
        </w:rPr>
        <w:t xml:space="preserve">对环境保护和农业的可持续发展具有十分重要的意义。    </w:t>
      </w:r>
    </w:p>
    <w:p>
      <w:pPr>
        <w:pStyle w:val="6"/>
        <w:ind w:firstLine="640"/>
        <w:rPr>
          <w:color w:val="000000" w:themeColor="text1"/>
        </w:rPr>
      </w:pPr>
      <w:r>
        <w:rPr>
          <w:rFonts w:hint="eastAsia"/>
          <w:color w:val="000000" w:themeColor="text1"/>
        </w:rPr>
        <w:t>（四）扶贫效益</w:t>
      </w:r>
    </w:p>
    <w:p>
      <w:pPr>
        <w:ind w:firstLine="640"/>
        <w:rPr>
          <w:rFonts w:ascii="仿宋_GB2312" w:hAnsi="仿宋_GB2312"/>
          <w:color w:val="000000" w:themeColor="text1"/>
        </w:rPr>
      </w:pPr>
      <w:r>
        <w:rPr>
          <w:rFonts w:hint="eastAsia" w:ascii="仿宋_GB2312" w:hAnsi="仿宋_GB2312"/>
          <w:color w:val="000000" w:themeColor="text1"/>
        </w:rPr>
        <w:t>虽然本项目建成后没有直接提供就业岗位，带动建档立卡户增收致富，奔小康，但通过本项目建设设施后，每年可增加村集体经济12万元，带动36贫困户133人受益，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p>
    <w:p>
      <w:pPr>
        <w:ind w:firstLine="640"/>
        <w:rPr>
          <w:rFonts w:hint="eastAsia" w:ascii="仿宋_GB2312" w:hAnsi="仿宋_GB2312"/>
          <w:color w:val="000000" w:themeColor="text1"/>
        </w:rPr>
      </w:pPr>
    </w:p>
    <w:p>
      <w:pPr>
        <w:ind w:firstLine="640"/>
        <w:rPr>
          <w:rFonts w:ascii="仿宋_GB2312" w:hAnsi="仿宋_GB2312"/>
          <w:color w:val="000000" w:themeColor="text1"/>
        </w:rPr>
      </w:pPr>
      <w:r>
        <w:rPr>
          <w:rFonts w:hint="eastAsia" w:ascii="仿宋_GB2312" w:hAnsi="仿宋_GB2312"/>
          <w:color w:val="000000" w:themeColor="text1"/>
        </w:rPr>
        <w:t>附：受益建档立卡贫困户花名册</w:t>
      </w:r>
    </w:p>
    <w:p>
      <w:pPr>
        <w:ind w:firstLine="640"/>
        <w:rPr>
          <w:rFonts w:ascii="仿宋_GB2312" w:hAnsi="仿宋_GB2312"/>
        </w:rPr>
      </w:pPr>
    </w:p>
    <w:p>
      <w:pPr>
        <w:ind w:firstLine="640"/>
        <w:rPr>
          <w:rFonts w:ascii="仿宋_GB2312" w:hAnsi="仿宋_GB2312"/>
        </w:rPr>
      </w:pPr>
    </w:p>
    <w:p>
      <w:pPr>
        <w:pStyle w:val="2"/>
        <w:ind w:left="1280" w:hanging="640"/>
        <w:rPr>
          <w:rFonts w:ascii="仿宋_GB2312" w:hAnsi="仿宋_GB2312"/>
        </w:rPr>
      </w:pPr>
    </w:p>
    <w:p>
      <w:pPr>
        <w:pStyle w:val="3"/>
        <w:rPr>
          <w:rFonts w:ascii="仿宋_GB2312" w:hAnsi="仿宋_GB2312"/>
        </w:rPr>
      </w:pPr>
    </w:p>
    <w:p>
      <w:pPr>
        <w:pStyle w:val="3"/>
      </w:pPr>
      <w:r>
        <w:rPr>
          <w:rFonts w:hint="eastAsia" w:ascii="仿宋_GB2312" w:hAnsi="仿宋_GB2312"/>
        </w:rPr>
        <w:t xml:space="preserve">                             </w:t>
      </w:r>
    </w:p>
    <w:p>
      <w:pPr>
        <w:ind w:firstLine="640"/>
        <w:rPr>
          <w:rFonts w:ascii="仿宋_GB2312" w:hAnsi="仿宋_GB231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yMWUxOTk5YjQwOGY2MDkzOTNiNWZhZTk1ODkwMDAifQ=="/>
  </w:docVars>
  <w:rsids>
    <w:rsidRoot w:val="7D891D9B"/>
    <w:rsid w:val="00045F17"/>
    <w:rsid w:val="000D2C54"/>
    <w:rsid w:val="00120910"/>
    <w:rsid w:val="001668C7"/>
    <w:rsid w:val="001C5EC8"/>
    <w:rsid w:val="001D4EBA"/>
    <w:rsid w:val="00230065"/>
    <w:rsid w:val="0023008F"/>
    <w:rsid w:val="00260EA4"/>
    <w:rsid w:val="002B6C15"/>
    <w:rsid w:val="003314F9"/>
    <w:rsid w:val="003530A2"/>
    <w:rsid w:val="0039328E"/>
    <w:rsid w:val="00397EEE"/>
    <w:rsid w:val="004157D4"/>
    <w:rsid w:val="004A0AFF"/>
    <w:rsid w:val="004A1A4F"/>
    <w:rsid w:val="004F71A5"/>
    <w:rsid w:val="00504A7D"/>
    <w:rsid w:val="005322DF"/>
    <w:rsid w:val="00573F59"/>
    <w:rsid w:val="005E5583"/>
    <w:rsid w:val="005F6420"/>
    <w:rsid w:val="00627094"/>
    <w:rsid w:val="00714DD3"/>
    <w:rsid w:val="007409CA"/>
    <w:rsid w:val="00766848"/>
    <w:rsid w:val="00770626"/>
    <w:rsid w:val="007A1C39"/>
    <w:rsid w:val="00800774"/>
    <w:rsid w:val="008040A0"/>
    <w:rsid w:val="00810380"/>
    <w:rsid w:val="008125F0"/>
    <w:rsid w:val="008333E2"/>
    <w:rsid w:val="008818F3"/>
    <w:rsid w:val="008D47BC"/>
    <w:rsid w:val="00964DE4"/>
    <w:rsid w:val="00991841"/>
    <w:rsid w:val="009D1AE1"/>
    <w:rsid w:val="00A001C7"/>
    <w:rsid w:val="00A7191B"/>
    <w:rsid w:val="00AD32BF"/>
    <w:rsid w:val="00AE088E"/>
    <w:rsid w:val="00B145DF"/>
    <w:rsid w:val="00B43809"/>
    <w:rsid w:val="00C04950"/>
    <w:rsid w:val="00D25209"/>
    <w:rsid w:val="00D512EA"/>
    <w:rsid w:val="00DB329B"/>
    <w:rsid w:val="00DD2E1B"/>
    <w:rsid w:val="00DE3F84"/>
    <w:rsid w:val="00E51403"/>
    <w:rsid w:val="00ED3459"/>
    <w:rsid w:val="00EF6C49"/>
    <w:rsid w:val="00F245A4"/>
    <w:rsid w:val="00F44E01"/>
    <w:rsid w:val="00F6109A"/>
    <w:rsid w:val="00FF3C2A"/>
    <w:rsid w:val="010D1AFF"/>
    <w:rsid w:val="02370E5E"/>
    <w:rsid w:val="064A1175"/>
    <w:rsid w:val="06F45EEE"/>
    <w:rsid w:val="074C42BA"/>
    <w:rsid w:val="09043DCB"/>
    <w:rsid w:val="0A1C4D2B"/>
    <w:rsid w:val="0ED32EA8"/>
    <w:rsid w:val="11946D55"/>
    <w:rsid w:val="13E05163"/>
    <w:rsid w:val="14573200"/>
    <w:rsid w:val="14A85110"/>
    <w:rsid w:val="154E6EB2"/>
    <w:rsid w:val="1B3A38B5"/>
    <w:rsid w:val="1FFF5946"/>
    <w:rsid w:val="206C2736"/>
    <w:rsid w:val="21B24B76"/>
    <w:rsid w:val="248101D7"/>
    <w:rsid w:val="256D38BF"/>
    <w:rsid w:val="268146AB"/>
    <w:rsid w:val="26C674E8"/>
    <w:rsid w:val="27D75690"/>
    <w:rsid w:val="2A1C4162"/>
    <w:rsid w:val="2B290B23"/>
    <w:rsid w:val="30F14B5C"/>
    <w:rsid w:val="377F6278"/>
    <w:rsid w:val="37F26C5A"/>
    <w:rsid w:val="3C47746A"/>
    <w:rsid w:val="3FAA0249"/>
    <w:rsid w:val="417C0339"/>
    <w:rsid w:val="427B5A2F"/>
    <w:rsid w:val="43DC7130"/>
    <w:rsid w:val="47806224"/>
    <w:rsid w:val="4A6C3896"/>
    <w:rsid w:val="4A8B024B"/>
    <w:rsid w:val="4AE75097"/>
    <w:rsid w:val="4FCC1187"/>
    <w:rsid w:val="4FF06BA7"/>
    <w:rsid w:val="50021138"/>
    <w:rsid w:val="51930D52"/>
    <w:rsid w:val="51C10094"/>
    <w:rsid w:val="538D7228"/>
    <w:rsid w:val="54CE0B32"/>
    <w:rsid w:val="556B6D0D"/>
    <w:rsid w:val="55F5080E"/>
    <w:rsid w:val="578758A9"/>
    <w:rsid w:val="587E381F"/>
    <w:rsid w:val="591B3A52"/>
    <w:rsid w:val="5A844D7F"/>
    <w:rsid w:val="5AF60287"/>
    <w:rsid w:val="5D677C52"/>
    <w:rsid w:val="60971707"/>
    <w:rsid w:val="60B434F1"/>
    <w:rsid w:val="63711FBA"/>
    <w:rsid w:val="64E300A0"/>
    <w:rsid w:val="65712B6F"/>
    <w:rsid w:val="657D4D33"/>
    <w:rsid w:val="67475511"/>
    <w:rsid w:val="69E70A6A"/>
    <w:rsid w:val="6A4B4A5E"/>
    <w:rsid w:val="6AEB3399"/>
    <w:rsid w:val="6B24487A"/>
    <w:rsid w:val="6CE94F33"/>
    <w:rsid w:val="6CED3E03"/>
    <w:rsid w:val="6DDF6D57"/>
    <w:rsid w:val="6F785660"/>
    <w:rsid w:val="72ED3CCA"/>
    <w:rsid w:val="77330990"/>
    <w:rsid w:val="77BB3BB0"/>
    <w:rsid w:val="789850B2"/>
    <w:rsid w:val="79474FB4"/>
    <w:rsid w:val="7D4968D8"/>
    <w:rsid w:val="7D89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cs="仿宋_GB2312" w:asciiTheme="minorHAnsi" w:hAnsiTheme="minorHAnsi"/>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outlineLvl w:val="1"/>
    </w:pPr>
    <w:rPr>
      <w:rFonts w:ascii="Arial" w:hAnsi="Arial" w:eastAsia="黑体"/>
    </w:rPr>
  </w:style>
  <w:style w:type="paragraph" w:styleId="6">
    <w:name w:val="heading 3"/>
    <w:basedOn w:val="1"/>
    <w:next w:val="1"/>
    <w:link w:val="18"/>
    <w:unhideWhenUsed/>
    <w:qFormat/>
    <w:uiPriority w:val="0"/>
    <w:pPr>
      <w:keepNext/>
      <w:keepLines/>
      <w:outlineLvl w:val="2"/>
    </w:pPr>
    <w:rPr>
      <w:rFonts w:eastAsia="楷体"/>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8">
    <w:name w:val="heading 5"/>
    <w:basedOn w:val="1"/>
    <w:next w:val="1"/>
    <w:unhideWhenUsed/>
    <w:qFormat/>
    <w:uiPriority w:val="0"/>
    <w:pPr>
      <w:keepNext/>
      <w:keepLines/>
      <w:spacing w:line="372" w:lineRule="auto"/>
      <w:outlineLvl w:val="4"/>
    </w:pPr>
    <w:rPr>
      <w:b/>
      <w:sz w:val="28"/>
    </w:rPr>
  </w:style>
  <w:style w:type="paragraph" w:styleId="9">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10">
    <w:name w:val="heading 7"/>
    <w:basedOn w:val="1"/>
    <w:next w:val="1"/>
    <w:unhideWhenUsed/>
    <w:qFormat/>
    <w:uiPriority w:val="0"/>
    <w:pPr>
      <w:keepNext/>
      <w:keepLines/>
      <w:spacing w:line="317" w:lineRule="auto"/>
      <w:outlineLvl w:val="6"/>
    </w:pPr>
    <w:rPr>
      <w:b/>
      <w:sz w:val="24"/>
    </w:rPr>
  </w:style>
  <w:style w:type="paragraph" w:styleId="11">
    <w:name w:val="heading 8"/>
    <w:basedOn w:val="1"/>
    <w:next w:val="1"/>
    <w:unhideWhenUsed/>
    <w:qFormat/>
    <w:uiPriority w:val="0"/>
    <w:pPr>
      <w:keepNext/>
      <w:keepLines/>
      <w:spacing w:line="317" w:lineRule="auto"/>
      <w:outlineLvl w:val="7"/>
    </w:pPr>
    <w:rPr>
      <w:rFonts w:ascii="Arial" w:hAnsi="Arial" w:eastAsia="黑体"/>
      <w:sz w:val="24"/>
    </w:rPr>
  </w:style>
  <w:style w:type="character" w:default="1" w:styleId="17">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200" w:line="276" w:lineRule="auto"/>
      <w:jc w:val="both"/>
    </w:pPr>
    <w:rPr>
      <w:rFonts w:ascii="Times New Roman" w:hAnsi="Times New Roman" w:eastAsia="仿宋_GB2312" w:cs="黑体"/>
      <w:kern w:val="2"/>
      <w:sz w:val="32"/>
      <w:szCs w:val="24"/>
      <w:lang w:val="en-US" w:eastAsia="zh-CN" w:bidi="ar-SA"/>
    </w:rPr>
  </w:style>
  <w:style w:type="paragraph" w:styleId="12">
    <w:name w:val="Body Text Indent"/>
    <w:basedOn w:val="1"/>
    <w:qFormat/>
    <w:uiPriority w:val="0"/>
    <w:pPr>
      <w:ind w:left="420" w:leftChars="200"/>
    </w:pPr>
  </w:style>
  <w:style w:type="paragraph" w:styleId="13">
    <w:name w:val="footer"/>
    <w:basedOn w:val="1"/>
    <w:link w:val="20"/>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19"/>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3 Char"/>
    <w:link w:val="6"/>
    <w:qFormat/>
    <w:uiPriority w:val="0"/>
    <w:rPr>
      <w:rFonts w:eastAsia="楷体" w:asciiTheme="minorHAnsi" w:hAnsiTheme="minorHAnsi"/>
      <w:sz w:val="32"/>
    </w:rPr>
  </w:style>
  <w:style w:type="character" w:customStyle="1" w:styleId="19">
    <w:name w:val="页眉 Char"/>
    <w:basedOn w:val="17"/>
    <w:link w:val="14"/>
    <w:qFormat/>
    <w:uiPriority w:val="0"/>
    <w:rPr>
      <w:rFonts w:eastAsia="仿宋_GB2312" w:cs="仿宋_GB2312" w:asciiTheme="minorHAnsi" w:hAnsiTheme="minorHAnsi"/>
      <w:kern w:val="2"/>
      <w:sz w:val="18"/>
      <w:szCs w:val="18"/>
    </w:rPr>
  </w:style>
  <w:style w:type="character" w:customStyle="1" w:styleId="20">
    <w:name w:val="页脚 Char"/>
    <w:basedOn w:val="17"/>
    <w:link w:val="13"/>
    <w:qFormat/>
    <w:uiPriority w:val="0"/>
    <w:rPr>
      <w:rFonts w:eastAsia="仿宋_GB2312" w:cs="仿宋_GB2312" w:asciiTheme="minorHAnsi" w:hAnsiTheme="minorHAns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10</Pages>
  <Words>3629</Words>
  <Characters>915</Characters>
  <Lines>7</Lines>
  <Paragraphs>9</Paragraphs>
  <TotalTime>0</TotalTime>
  <ScaleCrop>false</ScaleCrop>
  <LinksUpToDate>false</LinksUpToDate>
  <CharactersWithSpaces>4535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2020-03-09T06:40:00Z</dcterms:created>
  <dc:creator>小徐</dc:creator>
  <cp:lastModifiedBy>谷兴鏖</cp:lastModifiedBy>
  <cp:lastPrinted>2020-04-03T06:39:00Z</cp:lastPrinted>
  <dcterms:modified xsi:type="dcterms:W3CDTF">2024-03-06T09:26:47Z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188E2763569842428A7AC624C1CC724F_12</vt:lpwstr>
  </property>
</Properties>
</file>