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梁河县史志办公室2016年决算公开</w:t>
      </w:r>
    </w:p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补充说明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一、政府采购执行情况说明</w:t>
      </w:r>
    </w:p>
    <w:p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2016年，史志办</w:t>
      </w:r>
      <w:r>
        <w:rPr>
          <w:rFonts w:hint="eastAsia"/>
          <w:kern w:val="0"/>
          <w:sz w:val="32"/>
          <w:szCs w:val="32"/>
        </w:rPr>
        <w:t>没有达到集中统一采购限额标准，日常零星采购采取到采购监管部门审批后自行采购方式进行。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  <w:lang w:val="en-US" w:eastAsia="zh-CN"/>
        </w:rPr>
        <w:t>二</w:t>
      </w: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（一）决算</w:t>
      </w:r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指根据年度预算执行结果而编制的年度会计</w:t>
      </w:r>
      <w:bookmarkStart w:id="0" w:name="_GoBack"/>
      <w:bookmarkEnd w:id="0"/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报告。它是预算执行的总结。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（三）上年结转：指以前年度尚未完成、结转到本年仍按原规定用途继续使用的资金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（四）住房保障（类）住房改革支出（款）住房公积金（项）：指按照《住房公积金管理条例》的规定，由单位及其在职职工缴存的长期住房储金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（五）基本支出：指为保障机构正常运转、完成日常工作任务而发生的人员支出和公用支出。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（六）项目支出：指在基本支出之外为完成特定行政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七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  <w:t>）。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八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 xml:space="preserve">                          梁河县史志办公室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 xml:space="preserve">                              2017年11月7日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1776E0"/>
    <w:rsid w:val="001F287F"/>
    <w:rsid w:val="003B554E"/>
    <w:rsid w:val="00530111"/>
    <w:rsid w:val="007740FD"/>
    <w:rsid w:val="007F54E4"/>
    <w:rsid w:val="008E05CC"/>
    <w:rsid w:val="00910163"/>
    <w:rsid w:val="00B43E5F"/>
    <w:rsid w:val="00C3361F"/>
    <w:rsid w:val="00C95011"/>
    <w:rsid w:val="3B1C5CCE"/>
    <w:rsid w:val="5DEE51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DELL</cp:lastModifiedBy>
  <cp:lastPrinted>2017-11-07T07:52:22Z</cp:lastPrinted>
  <dcterms:modified xsi:type="dcterms:W3CDTF">2017-11-07T07:52:49Z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