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仿宋" w:hAnsi="仿宋" w:eastAsia="仿宋" w:cs="仿宋"/>
          <w:color w:val="333333"/>
          <w:kern w:val="0"/>
          <w:sz w:val="44"/>
          <w:szCs w:val="44"/>
        </w:rPr>
      </w:pPr>
      <w:r>
        <w:rPr>
          <w:rFonts w:hint="eastAsia" w:ascii="仿宋" w:hAnsi="仿宋" w:eastAsia="仿宋" w:cs="仿宋"/>
          <w:color w:val="333333"/>
          <w:kern w:val="0"/>
          <w:sz w:val="44"/>
          <w:szCs w:val="44"/>
        </w:rPr>
        <w:t>梁河县</w:t>
      </w:r>
      <w:r>
        <w:rPr>
          <w:rFonts w:hint="eastAsia" w:ascii="仿宋" w:hAnsi="仿宋" w:eastAsia="仿宋" w:cs="仿宋"/>
          <w:color w:val="333333"/>
          <w:kern w:val="0"/>
          <w:sz w:val="44"/>
          <w:szCs w:val="44"/>
          <w:lang w:eastAsia="zh-CN"/>
        </w:rPr>
        <w:t>接待</w:t>
      </w:r>
      <w:r>
        <w:rPr>
          <w:rFonts w:hint="eastAsia" w:ascii="仿宋" w:hAnsi="仿宋" w:eastAsia="仿宋" w:cs="仿宋"/>
          <w:color w:val="333333"/>
          <w:kern w:val="0"/>
          <w:sz w:val="44"/>
          <w:szCs w:val="44"/>
        </w:rPr>
        <w:t>办2017年预算公开</w:t>
      </w:r>
    </w:p>
    <w:p>
      <w:pPr>
        <w:widowControl/>
        <w:shd w:val="clear" w:color="auto" w:fill="FFFFFF"/>
        <w:jc w:val="center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44"/>
          <w:szCs w:val="44"/>
          <w:lang w:eastAsia="zh-CN"/>
        </w:rPr>
        <w:t>补充说明</w:t>
      </w:r>
    </w:p>
    <w:p>
      <w:pPr>
        <w:widowControl/>
        <w:shd w:val="clear" w:color="auto" w:fill="FFFFFF"/>
        <w:jc w:val="left"/>
        <w:rPr>
          <w:rFonts w:hint="eastAsia" w:cs="Arial" w:asciiTheme="majorEastAsia" w:hAnsiTheme="majorEastAsia" w:eastAsiaTheme="majorEastAsia"/>
          <w:color w:val="333333"/>
          <w:kern w:val="0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color w:val="333333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color w:val="333333"/>
          <w:kern w:val="0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b/>
          <w:sz w:val="32"/>
          <w:szCs w:val="32"/>
        </w:rPr>
        <w:t>2017年部门预算收支情况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2017年部门预算总收入166.26万元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其中：公共财政预算166.26万元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），比上年的</w:t>
      </w:r>
      <w:r>
        <w:rPr>
          <w:rFonts w:hint="eastAsia" w:ascii="仿宋" w:hAnsi="仿宋" w:eastAsia="仿宋" w:cs="仿宋"/>
          <w:sz w:val="32"/>
          <w:szCs w:val="32"/>
        </w:rPr>
        <w:t>143.23万元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23.03万元，主要原因是人员支出及</w:t>
      </w:r>
      <w:r>
        <w:rPr>
          <w:rFonts w:hint="eastAsia" w:ascii="仿宋" w:hAnsi="仿宋" w:eastAsia="仿宋" w:cs="仿宋"/>
          <w:kern w:val="0"/>
          <w:sz w:val="32"/>
          <w:szCs w:val="32"/>
        </w:rPr>
        <w:t>住房公积金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增加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widowControl/>
        <w:snapToGrid w:val="0"/>
        <w:spacing w:before="100" w:after="100" w:line="600" w:lineRule="exact"/>
        <w:ind w:firstLine="538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2017</w:t>
      </w:r>
      <w:r>
        <w:rPr>
          <w:rFonts w:hint="eastAsia" w:ascii="仿宋" w:hAnsi="仿宋" w:eastAsia="仿宋" w:cs="仿宋"/>
          <w:kern w:val="0"/>
          <w:sz w:val="32"/>
          <w:szCs w:val="32"/>
        </w:rPr>
        <w:t>年部门预算总支出</w:t>
      </w:r>
      <w:r>
        <w:rPr>
          <w:rFonts w:hint="eastAsia" w:ascii="仿宋" w:hAnsi="仿宋" w:eastAsia="仿宋" w:cs="仿宋"/>
          <w:sz w:val="32"/>
          <w:szCs w:val="32"/>
        </w:rPr>
        <w:t>166.26万元，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比上年的</w:t>
      </w:r>
      <w:r>
        <w:rPr>
          <w:rFonts w:hint="eastAsia" w:ascii="仿宋" w:hAnsi="仿宋" w:eastAsia="仿宋" w:cs="仿宋"/>
          <w:sz w:val="32"/>
          <w:szCs w:val="32"/>
        </w:rPr>
        <w:t>143.23万元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23.03万元，主要原因是人员支出及</w:t>
      </w:r>
      <w:r>
        <w:rPr>
          <w:rFonts w:hint="eastAsia" w:ascii="仿宋" w:hAnsi="仿宋" w:eastAsia="仿宋" w:cs="仿宋"/>
          <w:kern w:val="0"/>
          <w:sz w:val="32"/>
          <w:szCs w:val="32"/>
        </w:rPr>
        <w:t>住房公积金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增加</w:t>
      </w:r>
      <w:r>
        <w:rPr>
          <w:rFonts w:hint="eastAsia" w:ascii="仿宋" w:hAnsi="仿宋" w:eastAsia="仿宋" w:cs="仿宋"/>
          <w:sz w:val="32"/>
          <w:szCs w:val="32"/>
        </w:rPr>
        <w:t>。其中：</w:t>
      </w:r>
      <w:r>
        <w:rPr>
          <w:rFonts w:hint="eastAsia" w:ascii="仿宋" w:hAnsi="仿宋" w:eastAsia="仿宋" w:cs="仿宋"/>
          <w:kern w:val="0"/>
          <w:sz w:val="32"/>
          <w:szCs w:val="32"/>
        </w:rPr>
        <w:t>基本支出</w:t>
      </w:r>
      <w:r>
        <w:rPr>
          <w:rFonts w:hint="eastAsia" w:ascii="仿宋" w:hAnsi="仿宋" w:eastAsia="仿宋" w:cs="仿宋"/>
          <w:sz w:val="32"/>
          <w:szCs w:val="32"/>
        </w:rPr>
        <w:t>52.82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比上年的</w:t>
      </w:r>
      <w:r>
        <w:rPr>
          <w:rFonts w:hint="eastAsia" w:ascii="仿宋" w:hAnsi="仿宋" w:eastAsia="仿宋" w:cs="仿宋"/>
          <w:sz w:val="32"/>
          <w:szCs w:val="32"/>
        </w:rPr>
        <w:t>43.23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9.58万元，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基本支出占总支出的</w:t>
      </w:r>
      <w:r>
        <w:rPr>
          <w:rFonts w:hint="eastAsia" w:ascii="仿宋" w:hAnsi="仿宋" w:eastAsia="仿宋" w:cs="仿宋"/>
          <w:sz w:val="32"/>
          <w:szCs w:val="32"/>
        </w:rPr>
        <w:t>31.77</w:t>
      </w:r>
      <w:r>
        <w:rPr>
          <w:rFonts w:hint="eastAsia" w:ascii="仿宋" w:hAnsi="仿宋" w:eastAsia="仿宋" w:cs="仿宋"/>
          <w:kern w:val="0"/>
          <w:sz w:val="32"/>
          <w:szCs w:val="32"/>
        </w:rPr>
        <w:t>％；项目支出</w:t>
      </w:r>
      <w:r>
        <w:rPr>
          <w:rFonts w:hint="eastAsia" w:ascii="仿宋" w:hAnsi="仿宋" w:eastAsia="仿宋" w:cs="仿宋"/>
          <w:sz w:val="32"/>
          <w:szCs w:val="32"/>
        </w:rPr>
        <w:t>113.44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比上年的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13.44万元，</w:t>
      </w:r>
      <w:r>
        <w:rPr>
          <w:rFonts w:hint="eastAsia" w:ascii="仿宋" w:hAnsi="仿宋" w:eastAsia="仿宋" w:cs="仿宋"/>
          <w:kern w:val="0"/>
          <w:sz w:val="32"/>
          <w:szCs w:val="32"/>
        </w:rPr>
        <w:t>项目支出占总支出的</w:t>
      </w:r>
      <w:r>
        <w:rPr>
          <w:rFonts w:hint="eastAsia" w:ascii="仿宋" w:hAnsi="仿宋" w:eastAsia="仿宋" w:cs="仿宋"/>
          <w:sz w:val="32"/>
          <w:szCs w:val="32"/>
        </w:rPr>
        <w:t>68.23</w:t>
      </w:r>
      <w:r>
        <w:rPr>
          <w:rFonts w:hint="eastAsia" w:ascii="仿宋" w:hAnsi="仿宋" w:eastAsia="仿宋" w:cs="仿宋"/>
          <w:kern w:val="0"/>
          <w:sz w:val="32"/>
          <w:szCs w:val="32"/>
        </w:rPr>
        <w:t>％。按支出功能科目分类，“201-03”支出，主要反映工资福利支出，一般公用经费支出，</w:t>
      </w:r>
      <w:r>
        <w:rPr>
          <w:rFonts w:hint="eastAsia" w:ascii="仿宋" w:hAnsi="仿宋" w:eastAsia="仿宋" w:cs="仿宋"/>
          <w:sz w:val="32"/>
          <w:szCs w:val="32"/>
        </w:rPr>
        <w:t>工会经费支出，</w:t>
      </w:r>
      <w:r>
        <w:rPr>
          <w:rFonts w:hint="eastAsia" w:ascii="仿宋" w:hAnsi="仿宋" w:eastAsia="仿宋" w:cs="仿宋"/>
          <w:kern w:val="0"/>
          <w:sz w:val="32"/>
          <w:szCs w:val="32"/>
        </w:rPr>
        <w:t>车辆经费支出，日常工作经费支出；“ “221-02”支出，主要反映住房公积金的预算支出。</w:t>
      </w:r>
    </w:p>
    <w:p>
      <w:pPr>
        <w:widowControl/>
        <w:numPr>
          <w:ilvl w:val="0"/>
          <w:numId w:val="1"/>
        </w:numPr>
        <w:tabs>
          <w:tab w:val="left" w:pos="1618"/>
        </w:tabs>
        <w:snapToGrid w:val="0"/>
        <w:spacing w:before="100" w:after="100" w:line="60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基本支出情况</w:t>
      </w:r>
    </w:p>
    <w:p>
      <w:pPr>
        <w:widowControl/>
        <w:snapToGrid w:val="0"/>
        <w:spacing w:before="100" w:after="100" w:line="600" w:lineRule="exact"/>
        <w:ind w:firstLine="634" w:firstLineChars="198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2017</w:t>
      </w:r>
      <w:r>
        <w:rPr>
          <w:rFonts w:hint="eastAsia" w:ascii="仿宋" w:hAnsi="仿宋" w:eastAsia="仿宋" w:cs="仿宋"/>
          <w:kern w:val="0"/>
          <w:sz w:val="32"/>
          <w:szCs w:val="32"/>
        </w:rPr>
        <w:t>年用于保障机构正常运转的日常支出</w:t>
      </w:r>
      <w:r>
        <w:rPr>
          <w:rFonts w:hint="eastAsia" w:ascii="仿宋" w:hAnsi="仿宋" w:eastAsia="仿宋" w:cs="仿宋"/>
          <w:sz w:val="32"/>
          <w:szCs w:val="32"/>
        </w:rPr>
        <w:t>46.37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比上年的</w:t>
      </w:r>
      <w:r>
        <w:rPr>
          <w:rFonts w:hint="eastAsia" w:ascii="仿宋" w:hAnsi="仿宋" w:eastAsia="仿宋" w:cs="仿宋"/>
          <w:sz w:val="32"/>
          <w:szCs w:val="32"/>
        </w:rPr>
        <w:t>37.19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9.18万元，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包括在职职工基本工资、津贴补贴等工资福利支出，占基本支出的</w:t>
      </w:r>
      <w:r>
        <w:rPr>
          <w:rFonts w:hint="eastAsia" w:ascii="仿宋" w:hAnsi="仿宋" w:eastAsia="仿宋" w:cs="仿宋"/>
          <w:sz w:val="32"/>
          <w:szCs w:val="32"/>
        </w:rPr>
        <w:t>87.79</w:t>
      </w:r>
      <w:r>
        <w:rPr>
          <w:rFonts w:hint="eastAsia" w:ascii="仿宋" w:hAnsi="仿宋" w:eastAsia="仿宋" w:cs="仿宋"/>
          <w:kern w:val="0"/>
          <w:sz w:val="32"/>
          <w:szCs w:val="32"/>
        </w:rPr>
        <w:t>％；办公经费、印刷费、水电费、汽燃费、办公设备购置等日常公用经费（商品和服务支出）占基本支出的</w:t>
      </w:r>
      <w:r>
        <w:rPr>
          <w:rFonts w:hint="eastAsia" w:ascii="仿宋" w:hAnsi="仿宋" w:eastAsia="仿宋" w:cs="仿宋"/>
          <w:sz w:val="32"/>
          <w:szCs w:val="32"/>
        </w:rPr>
        <w:t>4.18</w:t>
      </w:r>
      <w:r>
        <w:rPr>
          <w:rFonts w:hint="eastAsia" w:ascii="仿宋" w:hAnsi="仿宋" w:eastAsia="仿宋" w:cs="仿宋"/>
          <w:kern w:val="0"/>
          <w:sz w:val="32"/>
          <w:szCs w:val="32"/>
        </w:rPr>
        <w:t>％；对个人和家庭补助支出占基本支出的8.03%。与上年对比基本支出增加22.18％。</w:t>
      </w:r>
    </w:p>
    <w:p>
      <w:pPr>
        <w:spacing w:line="6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在基本支出预算中，“三公”经费预算为：因公出国（境）经费，年初无预算安排；公务接待费，年初预算安排1万元，</w:t>
      </w:r>
      <w:r>
        <w:rPr>
          <w:rFonts w:hint="eastAsia" w:ascii="仿宋" w:hAnsi="仿宋" w:eastAsia="仿宋" w:cs="仿宋"/>
          <w:kern w:val="0"/>
          <w:sz w:val="32"/>
          <w:szCs w:val="32"/>
        </w:rPr>
        <w:t>主要用于全县接待工作开支</w:t>
      </w:r>
      <w:r>
        <w:rPr>
          <w:rFonts w:hint="eastAsia" w:ascii="仿宋" w:hAnsi="仿宋" w:eastAsia="仿宋" w:cs="仿宋"/>
          <w:sz w:val="32"/>
          <w:szCs w:val="32"/>
        </w:rPr>
        <w:t>；公务用车购置及运行维护费，年初无预算安排。</w:t>
      </w:r>
    </w:p>
    <w:p>
      <w:pPr>
        <w:widowControl/>
        <w:numPr>
          <w:ilvl w:val="0"/>
          <w:numId w:val="1"/>
        </w:numPr>
        <w:tabs>
          <w:tab w:val="left" w:pos="1618"/>
        </w:tabs>
        <w:snapToGrid w:val="0"/>
        <w:spacing w:before="100" w:after="100" w:line="60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项目支出情况</w:t>
      </w:r>
    </w:p>
    <w:p>
      <w:pPr>
        <w:widowControl/>
        <w:shd w:val="clear" w:color="auto" w:fill="FFFFFF"/>
        <w:jc w:val="left"/>
        <w:rPr>
          <w:rFonts w:hint="eastAsia" w:ascii="仿宋" w:hAnsi="仿宋" w:eastAsia="仿宋" w:cs="仿宋"/>
          <w:b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2017年为保障本机关完成特定的行政工作任务，用于专项业务工作的经费支出预算为113.44万元，主要用于全县接待工作开支及新聘接待员工资；与上年对比项目支出增加13.44％。</w:t>
      </w:r>
    </w:p>
    <w:p>
      <w:pPr>
        <w:widowControl/>
        <w:shd w:val="clear" w:color="auto" w:fill="FFFFFF"/>
        <w:jc w:val="left"/>
        <w:rPr>
          <w:rFonts w:hint="eastAsia" w:ascii="仿宋" w:hAnsi="仿宋" w:eastAsia="仿宋" w:cs="仿宋"/>
          <w:b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333333"/>
          <w:kern w:val="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/>
          <w:color w:val="333333"/>
          <w:kern w:val="0"/>
          <w:sz w:val="32"/>
          <w:szCs w:val="32"/>
        </w:rPr>
        <w:t>、机关运行经费安排</w:t>
      </w:r>
    </w:p>
    <w:p>
      <w:pPr>
        <w:ind w:firstLine="579" w:firstLineChars="181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2017年财政预算安排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县政府</w:t>
      </w:r>
      <w:r>
        <w:rPr>
          <w:rFonts w:hint="eastAsia" w:ascii="仿宋" w:hAnsi="仿宋" w:eastAsia="仿宋" w:cs="仿宋"/>
          <w:kern w:val="0"/>
          <w:sz w:val="32"/>
          <w:szCs w:val="32"/>
        </w:rPr>
        <w:t>办机关运行经费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2.20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万元，其中：公务招待费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万元，其他一般公用经费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1.20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万元。比上年的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2.41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0.21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万元，主要是人员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减少预算减少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、政府采购安排情况说明</w:t>
      </w: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年初预算无政府采购安排。</w:t>
      </w:r>
      <w:bookmarkStart w:id="0" w:name="_GoBack"/>
      <w:bookmarkEnd w:id="0"/>
    </w:p>
    <w:p>
      <w:pPr>
        <w:widowControl/>
        <w:shd w:val="clear" w:color="auto" w:fill="FFFFFF"/>
        <w:jc w:val="left"/>
        <w:rPr>
          <w:rFonts w:hint="eastAsia" w:ascii="仿宋" w:hAnsi="仿宋" w:eastAsia="仿宋" w:cs="仿宋"/>
          <w:b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333333"/>
          <w:kern w:val="0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color w:val="333333"/>
          <w:kern w:val="0"/>
          <w:sz w:val="32"/>
          <w:szCs w:val="32"/>
        </w:rPr>
        <w:t>、名词解释</w:t>
      </w:r>
    </w:p>
    <w:p>
      <w:pPr>
        <w:widowControl/>
        <w:shd w:val="clear" w:color="auto" w:fill="FFFFFF"/>
        <w:ind w:firstLine="480" w:firstLineChars="15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（一）、预算是指经法定程序审核批准的国家年度集中性财政收支计划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DFEFF"/>
        </w:rPr>
        <w:t>（二）、财政拨款收入是核算行政单位从同级财政部门取得的财政预算资金，分为“基本支出拨款”和“项目支出拨款”两个明细科目，分别核算行政单位取得用于基本支出和项目支出的财政拨款资金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（三）、住房保障（类）住房改革支出（款）住房公积金（项）：指按照《住房公积金管理条例》的规定，由单位及其在职职工缴存的长期住房储金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（四）、基本支出：指为保障机构正常运转、完成日常工作任务而发生的人员支出和公用支出。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（五）、项目支出：指在基本支出之外为完成特定行政</w:t>
      </w:r>
    </w:p>
    <w:p>
      <w:pPr>
        <w:autoSpaceDE w:val="0"/>
        <w:autoSpaceDN w:val="0"/>
        <w:adjustRightInd w:val="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任务和事业发展目标所发生的支出。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六）、“三公”经费：纳入中央财政预决算管理的“三公”经费，是指中央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燃料费、维修费、过路过桥费、保险费、安全奖励费用等支出；公务接待费反映单位按规定开支的各类公务接待（含外宾接待）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七）、机关运行经费：为保障行政单位（包括参照公务员法管理的事业单位）运行用于购买货物和服务的各项资金，包括办公及印刷费、邮电费、差旅费、会议费、福利费、日常维修费、专用材料及一般设备购置费、办公用房水电费、公务用车运行维护费以及其他费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梁河县接待办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              2017年11月8日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12px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60089668">
    <w:nsid w:val="5CFD1444"/>
    <w:multiLevelType w:val="multilevel"/>
    <w:tmpl w:val="5CFD1444"/>
    <w:lvl w:ilvl="0" w:tentative="1">
      <w:start w:val="1"/>
      <w:numFmt w:val="japaneseCounting"/>
      <w:lvlText w:val="（%1）"/>
      <w:lvlJc w:val="left"/>
      <w:pPr>
        <w:tabs>
          <w:tab w:val="left" w:pos="1618"/>
        </w:tabs>
        <w:ind w:left="1618" w:hanging="10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1378"/>
        </w:tabs>
        <w:ind w:left="1378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798"/>
        </w:tabs>
        <w:ind w:left="1798" w:hanging="420"/>
      </w:pPr>
    </w:lvl>
    <w:lvl w:ilvl="3" w:tentative="1">
      <w:start w:val="1"/>
      <w:numFmt w:val="decimal"/>
      <w:lvlText w:val="%4."/>
      <w:lvlJc w:val="left"/>
      <w:pPr>
        <w:tabs>
          <w:tab w:val="left" w:pos="2218"/>
        </w:tabs>
        <w:ind w:left="2218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638"/>
        </w:tabs>
        <w:ind w:left="2638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058"/>
        </w:tabs>
        <w:ind w:left="3058" w:hanging="420"/>
      </w:pPr>
    </w:lvl>
    <w:lvl w:ilvl="6" w:tentative="1">
      <w:start w:val="1"/>
      <w:numFmt w:val="decimal"/>
      <w:lvlText w:val="%7."/>
      <w:lvlJc w:val="left"/>
      <w:pPr>
        <w:tabs>
          <w:tab w:val="left" w:pos="3478"/>
        </w:tabs>
        <w:ind w:left="3478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898"/>
        </w:tabs>
        <w:ind w:left="3898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318"/>
        </w:tabs>
        <w:ind w:left="4318" w:hanging="420"/>
      </w:pPr>
    </w:lvl>
  </w:abstractNum>
  <w:num w:numId="1">
    <w:abstractNumId w:val="156008966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361F"/>
    <w:rsid w:val="00041A6F"/>
    <w:rsid w:val="0008019F"/>
    <w:rsid w:val="00314730"/>
    <w:rsid w:val="00525DCB"/>
    <w:rsid w:val="007740FD"/>
    <w:rsid w:val="007F54E4"/>
    <w:rsid w:val="008767B6"/>
    <w:rsid w:val="008D1C52"/>
    <w:rsid w:val="008E05CC"/>
    <w:rsid w:val="00910163"/>
    <w:rsid w:val="00C3361F"/>
    <w:rsid w:val="00C601DD"/>
    <w:rsid w:val="00C95011"/>
    <w:rsid w:val="00CF0686"/>
    <w:rsid w:val="00EA2399"/>
    <w:rsid w:val="01F15502"/>
    <w:rsid w:val="04893EC1"/>
    <w:rsid w:val="13DA167E"/>
    <w:rsid w:val="159505DD"/>
    <w:rsid w:val="1D823D3B"/>
    <w:rsid w:val="21A05FA4"/>
    <w:rsid w:val="28054479"/>
    <w:rsid w:val="32E71A4F"/>
    <w:rsid w:val="3D5C1BFE"/>
    <w:rsid w:val="42CD22EA"/>
    <w:rsid w:val="61B06996"/>
    <w:rsid w:val="68A01777"/>
    <w:rsid w:val="6EDB49C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Emphasis"/>
    <w:basedOn w:val="4"/>
    <w:qFormat/>
    <w:uiPriority w:val="20"/>
    <w:rPr>
      <w:i/>
      <w:iCs/>
    </w:rPr>
  </w:style>
  <w:style w:type="paragraph" w:customStyle="1" w:styleId="7">
    <w:name w:val="res-desc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凤舞九天">
      <a:dk1>
        <a:sysClr val="windowText" lastClr="000000"/>
      </a:dk1>
      <a:lt1>
        <a:sysClr val="window" lastClr="FFFFFF"/>
      </a:lt1>
      <a:dk2>
        <a:srgbClr val="004646"/>
      </a:dk2>
      <a:lt2>
        <a:srgbClr val="E1F0FF"/>
      </a:lt2>
      <a:accent1>
        <a:srgbClr val="50742F"/>
      </a:accent1>
      <a:accent2>
        <a:srgbClr val="268868"/>
      </a:accent2>
      <a:accent3>
        <a:srgbClr val="33BD56"/>
      </a:accent3>
      <a:accent4>
        <a:srgbClr val="4BC5B9"/>
      </a:accent4>
      <a:accent5>
        <a:srgbClr val="3163CA"/>
      </a:accent5>
      <a:accent6>
        <a:srgbClr val="4B14AA"/>
      </a:accent6>
      <a:hlink>
        <a:srgbClr val="D9BE02"/>
      </a:hlink>
      <a:folHlink>
        <a:srgbClr val="F900F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117</Words>
  <Characters>671</Characters>
  <Lines>5</Lines>
  <Paragraphs>1</Paragraphs>
  <ScaleCrop>false</ScaleCrop>
  <LinksUpToDate>false</LinksUpToDate>
  <CharactersWithSpaces>787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2017-11-07T01:10:00Z</dcterms:created>
  <dc:creator>微软用户</dc:creator>
  <cp:lastModifiedBy>hp</cp:lastModifiedBy>
  <dcterms:modified xsi:type="dcterms:W3CDTF">2017-11-08T07:37:43Z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