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textAlignment w:val="auto"/>
        <w:outlineLvl w:val="9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梁河县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城市供排水价格改革调整方案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新闻媒体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eastAsia="方正小标宋简体"/>
          <w:b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填表日期：     年  月  日</w:t>
      </w:r>
    </w:p>
    <w:tbl>
      <w:tblPr>
        <w:tblStyle w:val="2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2700"/>
        <w:gridCol w:w="2654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联系电话（手机）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记者证号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  <w:jc w:val="center"/>
        </w:trPr>
        <w:tc>
          <w:tcPr>
            <w:tcW w:w="85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单位及工作人员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符合报名条件，自愿报名，并对所提供信息的真实性负责；承诺遵守听证会各项纪律和注意事项。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                    报名人确认签名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（加盖单位公章）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：_____________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48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26A85"/>
    <w:rsid w:val="09826A85"/>
    <w:rsid w:val="19AB228B"/>
    <w:rsid w:val="424A46AE"/>
    <w:rsid w:val="4D9B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2022-03-23T09:49:00Z</dcterms:created>
  <dc:creator>吴耀军</dc:creator>
  <cp:lastModifiedBy>Administrator</cp:lastModifiedBy>
  <cp:lastPrinted>2023-02-28T06:44:07Z</cp:lastPrinted>
  <dcterms:modified xsi:type="dcterms:W3CDTF">2023-02-28T06:44:35Z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