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margin" w:tblpXSpec="right" w:tblpY="8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680" w:type="dxa"/>
            <w:tcBorders>
              <w:top w:val="nil"/>
              <w:left w:val="nil"/>
              <w:bottom w:val="nil"/>
              <w:right w:val="nil"/>
            </w:tcBorders>
            <w:noWrap w:val="0"/>
            <w:vAlign w:val="top"/>
          </w:tcPr>
          <w:p>
            <w:pPr>
              <w:spacing w:line="600" w:lineRule="exact"/>
              <w:rPr>
                <w:rFonts w:hint="eastAsia" w:ascii="宋体" w:hAnsi="宋体"/>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-9267825</wp:posOffset>
                      </wp:positionH>
                      <wp:positionV relativeFrom="paragraph">
                        <wp:posOffset>-5886450</wp:posOffset>
                      </wp:positionV>
                      <wp:extent cx="15120620" cy="21384260"/>
                      <wp:effectExtent l="0" t="0" r="0" b="0"/>
                      <wp:wrapNone/>
                      <wp:docPr id="5" name="KG_Shd_1"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729.75pt;margin-top:-463.5pt;height:1683.8pt;width:1190.6pt;visibility:hidden;z-index:-251657216;v-text-anchor:middle;mso-width-relative:page;mso-height-relative:page;" fillcolor="#FFFFFF" filled="t" stroked="t" coordsize="21600,21600" o:gfxdata="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rb78/cAAAADwEAAA8AAAAAAAAAAQAgAAAAIgAA&#10;AGRycy9kb3ducmV2LnhtbFBLAQIUABQAAAAIAIdO4kDDPRNbdgIAADwFAAAOAAAAAAAAAAEAIAAA&#10;ACsBAABkcnMvZTJvRG9jLnhtbFBLBQYAAAAABgAGAFkBAAATBgAAAAA=&#10;">
                      <v:fill on="t" opacity="0f" focussize="0,0"/>
                      <v:stroke weight="1pt" color="#FFFFFF [3204]" opacity="0f" miterlimit="8" joinstyle="miter"/>
                      <v:imagedata o:title=""/>
                      <o:lock v:ext="edit" aspectratio="f"/>
                    </v:rect>
                  </w:pict>
                </mc:Fallback>
              </mc:AlternateContent>
            </w:r>
          </w:p>
        </w:tc>
      </w:tr>
    </w:tbl>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方正小标宋_GBK" w:eastAsia="方正小标宋_GBK"/>
          <w:sz w:val="32"/>
          <w:szCs w:val="32"/>
        </w:rPr>
      </w:pPr>
    </w:p>
    <w:p>
      <w:pPr>
        <w:pStyle w:val="5"/>
        <w:keepNext w:val="0"/>
        <w:keepLines w:val="0"/>
        <w:pageBreakBefore w:val="0"/>
        <w:widowControl w:val="0"/>
        <w:kinsoku/>
        <w:wordWrap/>
        <w:overflowPunct/>
        <w:topLinePunct w:val="0"/>
        <w:autoSpaceDE/>
        <w:autoSpaceDN/>
        <w:bidi w:val="0"/>
        <w:adjustRightInd/>
        <w:snapToGrid/>
        <w:spacing w:afterLines="0" w:line="600" w:lineRule="exact"/>
        <w:textAlignment w:val="auto"/>
        <w:rPr>
          <w:rFonts w:ascii="Times New Roman" w:hAnsi="Times New Roman" w:eastAsia="方正黑体_GBK"/>
          <w:color w:val="auto"/>
          <w:szCs w:val="32"/>
        </w:rPr>
      </w:pPr>
      <w:r>
        <w:rPr>
          <w:rFonts w:ascii="Times New Roman" w:hAnsi="Times New Roman" w:eastAsia="方正黑体_GBK"/>
          <w:color w:val="auto"/>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olor w:val="auto"/>
          <w:sz w:val="44"/>
          <w:szCs w:val="44"/>
        </w:rPr>
      </w:pPr>
      <w:bookmarkStart w:id="0" w:name="_GoBack"/>
      <w:r>
        <w:rPr>
          <w:rFonts w:ascii="Times New Roman" w:hAnsi="Times New Roman" w:eastAsia="方正小标宋_GBK"/>
          <w:color w:val="auto"/>
          <w:sz w:val="44"/>
          <w:szCs w:val="44"/>
        </w:rPr>
        <w:t>202</w:t>
      </w:r>
      <w:r>
        <w:rPr>
          <w:rFonts w:hint="eastAsia" w:ascii="Times New Roman" w:hAnsi="Times New Roman" w:eastAsia="方正小标宋_GBK"/>
          <w:color w:val="auto"/>
          <w:sz w:val="44"/>
          <w:szCs w:val="44"/>
          <w:lang w:val="en-US" w:eastAsia="zh-CN"/>
        </w:rPr>
        <w:t>2</w:t>
      </w:r>
      <w:r>
        <w:rPr>
          <w:rFonts w:ascii="Times New Roman" w:hAnsi="Times New Roman" w:eastAsia="方正小标宋_GBK"/>
          <w:color w:val="auto"/>
          <w:sz w:val="44"/>
          <w:szCs w:val="44"/>
        </w:rPr>
        <w:t>年梁河县重大行政决策事项目录</w:t>
      </w:r>
    </w:p>
    <w:bookmarkEnd w:id="0"/>
    <w:tbl>
      <w:tblPr>
        <w:tblStyle w:val="9"/>
        <w:tblW w:w="15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535"/>
        <w:gridCol w:w="1236"/>
        <w:gridCol w:w="990"/>
        <w:gridCol w:w="3956"/>
        <w:gridCol w:w="2850"/>
        <w:gridCol w:w="2431"/>
        <w:gridCol w:w="854"/>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blHeader/>
          <w:jc w:val="center"/>
        </w:trPr>
        <w:tc>
          <w:tcPr>
            <w:tcW w:w="649"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序号</w:t>
            </w:r>
          </w:p>
        </w:tc>
        <w:tc>
          <w:tcPr>
            <w:tcW w:w="1535"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决策事项名称</w:t>
            </w:r>
          </w:p>
        </w:tc>
        <w:tc>
          <w:tcPr>
            <w:tcW w:w="1236"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拟承办部门</w:t>
            </w:r>
          </w:p>
        </w:tc>
        <w:tc>
          <w:tcPr>
            <w:tcW w:w="990"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拟完成时间</w:t>
            </w:r>
          </w:p>
        </w:tc>
        <w:tc>
          <w:tcPr>
            <w:tcW w:w="3956"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决策事项依据</w:t>
            </w:r>
          </w:p>
        </w:tc>
        <w:tc>
          <w:tcPr>
            <w:tcW w:w="2850"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决策事项的必要性和可行性</w:t>
            </w:r>
          </w:p>
        </w:tc>
        <w:tc>
          <w:tcPr>
            <w:tcW w:w="2431"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决策事项的主要内容和解决问题</w:t>
            </w:r>
          </w:p>
        </w:tc>
        <w:tc>
          <w:tcPr>
            <w:tcW w:w="854"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是否需要听证</w:t>
            </w:r>
          </w:p>
        </w:tc>
        <w:tc>
          <w:tcPr>
            <w:tcW w:w="888" w:type="dxa"/>
            <w:noWrap w:val="0"/>
            <w:vAlign w:val="center"/>
          </w:tcPr>
          <w:p>
            <w:pPr>
              <w:spacing w:line="300" w:lineRule="exact"/>
              <w:jc w:val="center"/>
              <w:rPr>
                <w:rFonts w:ascii="Times New Roman" w:hAnsi="Times New Roman" w:eastAsia="方正仿宋_GBK"/>
                <w:b/>
                <w:bCs/>
                <w:color w:val="auto"/>
                <w:sz w:val="28"/>
                <w:szCs w:val="28"/>
              </w:rPr>
            </w:pPr>
            <w:r>
              <w:rPr>
                <w:rFonts w:ascii="Times New Roman" w:hAnsi="Times New Roman" w:eastAsia="方正仿宋_GBK"/>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9" w:type="dxa"/>
            <w:noWrap w:val="0"/>
            <w:vAlign w:val="center"/>
          </w:tcPr>
          <w:p>
            <w:pPr>
              <w:spacing w:line="300" w:lineRule="exact"/>
              <w:jc w:val="center"/>
              <w:rPr>
                <w:rFonts w:ascii="Times New Roman" w:hAnsi="Times New Roman" w:eastAsia="方正仿宋_GBK"/>
                <w:color w:val="auto"/>
                <w:sz w:val="28"/>
                <w:szCs w:val="28"/>
              </w:rPr>
            </w:pPr>
            <w:r>
              <w:rPr>
                <w:rFonts w:ascii="Times New Roman" w:hAnsi="Times New Roman" w:eastAsia="方正仿宋_GBK"/>
                <w:color w:val="auto"/>
                <w:sz w:val="28"/>
                <w:szCs w:val="28"/>
              </w:rPr>
              <w:t>1</w:t>
            </w:r>
          </w:p>
        </w:tc>
        <w:tc>
          <w:tcPr>
            <w:tcW w:w="1535" w:type="dxa"/>
            <w:noWrap w:val="0"/>
            <w:vAlign w:val="center"/>
          </w:tcPr>
          <w:p>
            <w:pPr>
              <w:spacing w:line="300" w:lineRule="exact"/>
              <w:jc w:val="center"/>
              <w:rPr>
                <w:rFonts w:ascii="Times New Roman" w:hAnsi="Times New Roman" w:eastAsia="方正仿宋_GBK"/>
                <w:color w:val="auto"/>
                <w:szCs w:val="21"/>
              </w:rPr>
            </w:pPr>
            <w:r>
              <w:rPr>
                <w:rFonts w:hint="default" w:ascii="方正楷体_GBK" w:hAnsi="方正楷体_GBK" w:eastAsia="方正仿宋_GBK" w:cs="方正楷体_GBK"/>
                <w:b w:val="0"/>
                <w:sz w:val="21"/>
                <w:szCs w:val="21"/>
                <w:vertAlign w:val="baseline"/>
                <w:lang w:val="en-US" w:eastAsia="zh-CN"/>
              </w:rPr>
              <w:t>梁河县2022年土地征收成片开发方案（第一次）编制</w:t>
            </w:r>
          </w:p>
        </w:tc>
        <w:tc>
          <w:tcPr>
            <w:tcW w:w="1236"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县自然资源局</w:t>
            </w:r>
          </w:p>
        </w:tc>
        <w:tc>
          <w:tcPr>
            <w:tcW w:w="990"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202</w:t>
            </w:r>
            <w:r>
              <w:rPr>
                <w:rFonts w:hint="eastAsia" w:ascii="Times New Roman" w:hAnsi="Times New Roman" w:eastAsia="方正仿宋_GBK"/>
                <w:color w:val="auto"/>
                <w:szCs w:val="21"/>
                <w:lang w:val="en-US" w:eastAsia="zh-CN"/>
              </w:rPr>
              <w:t>2</w:t>
            </w:r>
            <w:r>
              <w:rPr>
                <w:rFonts w:ascii="Times New Roman" w:hAnsi="Times New Roman" w:eastAsia="方正仿宋_GBK"/>
                <w:color w:val="auto"/>
                <w:szCs w:val="21"/>
              </w:rPr>
              <w:t>年</w:t>
            </w:r>
          </w:p>
        </w:tc>
        <w:tc>
          <w:tcPr>
            <w:tcW w:w="3956" w:type="dxa"/>
            <w:noWrap w:val="0"/>
            <w:vAlign w:val="center"/>
          </w:tcPr>
          <w:p>
            <w:pPr>
              <w:spacing w:line="300" w:lineRule="exact"/>
              <w:jc w:val="center"/>
              <w:rPr>
                <w:rFonts w:ascii="Times New Roman" w:hAnsi="Times New Roman" w:eastAsia="方正仿宋_GBK"/>
                <w:color w:val="auto"/>
                <w:szCs w:val="21"/>
              </w:rPr>
            </w:pPr>
            <w:r>
              <w:rPr>
                <w:rFonts w:hint="eastAsia" w:ascii="Times New Roman" w:hAnsi="Times New Roman" w:eastAsia="方正仿宋_GBK" w:cs="Times New Roman"/>
                <w:color w:val="auto"/>
                <w:szCs w:val="21"/>
                <w:lang w:val="en-US" w:eastAsia="zh-CN"/>
              </w:rPr>
              <w:t>《中华人民共和国土地管理法》第四十五条规定、《自然资源部关于印发〈土地征收成片开发标准（试行）〉的通知》（自然资规〔2020〕5号）、《云南省自然资源厅关于做好全省土地征收成片开发方案报批审查有关工作的通知》（云自然资审批〔2021〕848号）</w:t>
            </w:r>
          </w:p>
        </w:tc>
        <w:tc>
          <w:tcPr>
            <w:tcW w:w="2850" w:type="dxa"/>
            <w:noWrap w:val="0"/>
            <w:vAlign w:val="center"/>
          </w:tcPr>
          <w:p>
            <w:pPr>
              <w:spacing w:line="300" w:lineRule="exact"/>
              <w:jc w:val="left"/>
              <w:rPr>
                <w:rFonts w:ascii="Times New Roman" w:hAnsi="Times New Roman" w:eastAsia="方正仿宋_GBK"/>
                <w:color w:val="auto"/>
                <w:szCs w:val="21"/>
              </w:rPr>
            </w:pPr>
            <w:r>
              <w:rPr>
                <w:rFonts w:hint="default" w:ascii="Times New Roman" w:hAnsi="Times New Roman" w:eastAsia="方正仿宋_GBK" w:cs="Times New Roman"/>
                <w:color w:val="auto"/>
                <w:szCs w:val="21"/>
              </w:rPr>
              <w:t>为保障梁河县2022—2023年急需开展的项目落地，促进土地资源节约、高效利用，巩固和提升梁河县脱贫攻坚成效，促进产业发展，加快梁河县经济产业结构调整，充分发挥成片开发的制度优势，创新土地开发利用模式，促进土地资源节约、集约和高效利用</w:t>
            </w:r>
            <w:r>
              <w:rPr>
                <w:rFonts w:hint="eastAsia" w:ascii="Times New Roman" w:hAnsi="Times New Roman" w:eastAsia="方正仿宋_GBK" w:cs="Times New Roman"/>
                <w:color w:val="auto"/>
                <w:szCs w:val="21"/>
              </w:rPr>
              <w:t>。</w:t>
            </w:r>
          </w:p>
        </w:tc>
        <w:tc>
          <w:tcPr>
            <w:tcW w:w="2431"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审议</w:t>
            </w:r>
            <w:r>
              <w:rPr>
                <w:rFonts w:hint="default" w:ascii="方正楷体_GBK" w:hAnsi="方正楷体_GBK" w:eastAsia="方正仿宋_GBK" w:cs="方正楷体_GBK"/>
                <w:b w:val="0"/>
                <w:sz w:val="21"/>
                <w:szCs w:val="21"/>
                <w:vertAlign w:val="baseline"/>
                <w:lang w:val="en-US" w:eastAsia="zh-CN"/>
              </w:rPr>
              <w:t>梁河县2022年土地征收成片开发方案（第一次）</w:t>
            </w:r>
          </w:p>
        </w:tc>
        <w:tc>
          <w:tcPr>
            <w:tcW w:w="854"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否</w:t>
            </w:r>
          </w:p>
        </w:tc>
        <w:tc>
          <w:tcPr>
            <w:tcW w:w="888" w:type="dxa"/>
            <w:noWrap w:val="0"/>
            <w:vAlign w:val="center"/>
          </w:tcPr>
          <w:p>
            <w:pPr>
              <w:spacing w:line="300" w:lineRule="exact"/>
              <w:jc w:val="center"/>
              <w:rPr>
                <w:rFonts w:ascii="Times New Roman" w:hAnsi="Times New Roman" w:eastAsia="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49" w:type="dxa"/>
            <w:noWrap w:val="0"/>
            <w:vAlign w:val="center"/>
          </w:tcPr>
          <w:p>
            <w:pPr>
              <w:spacing w:line="300" w:lineRule="exact"/>
              <w:jc w:val="center"/>
              <w:rPr>
                <w:rFonts w:ascii="Times New Roman" w:hAnsi="Times New Roman" w:eastAsia="方正仿宋_GBK"/>
                <w:color w:val="auto"/>
                <w:sz w:val="28"/>
                <w:szCs w:val="28"/>
              </w:rPr>
            </w:pPr>
            <w:r>
              <w:rPr>
                <w:rFonts w:ascii="Times New Roman" w:hAnsi="Times New Roman" w:eastAsia="方正仿宋_GBK"/>
                <w:color w:val="auto"/>
                <w:sz w:val="28"/>
                <w:szCs w:val="28"/>
              </w:rPr>
              <w:t>2</w:t>
            </w:r>
          </w:p>
        </w:tc>
        <w:tc>
          <w:tcPr>
            <w:tcW w:w="1535"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《梁河县人民政府关于禁止燃放烟花爆竹的通告》</w:t>
            </w:r>
          </w:p>
        </w:tc>
        <w:tc>
          <w:tcPr>
            <w:tcW w:w="1236"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州生态环境局梁河分局</w:t>
            </w:r>
          </w:p>
        </w:tc>
        <w:tc>
          <w:tcPr>
            <w:tcW w:w="990"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202</w:t>
            </w:r>
            <w:r>
              <w:rPr>
                <w:rFonts w:hint="eastAsia" w:ascii="Times New Roman" w:hAnsi="Times New Roman" w:eastAsia="方正仿宋_GBK"/>
                <w:color w:val="auto"/>
                <w:szCs w:val="21"/>
                <w:lang w:val="en-US" w:eastAsia="zh-CN"/>
              </w:rPr>
              <w:t>2</w:t>
            </w:r>
            <w:r>
              <w:rPr>
                <w:rFonts w:ascii="Times New Roman" w:hAnsi="Times New Roman" w:eastAsia="方正仿宋_GBK"/>
                <w:color w:val="auto"/>
                <w:szCs w:val="21"/>
              </w:rPr>
              <w:t>年</w:t>
            </w:r>
          </w:p>
        </w:tc>
        <w:tc>
          <w:tcPr>
            <w:tcW w:w="3956" w:type="dxa"/>
            <w:noWrap w:val="0"/>
            <w:vAlign w:val="center"/>
          </w:tcPr>
          <w:p>
            <w:pPr>
              <w:spacing w:line="300" w:lineRule="exact"/>
              <w:jc w:val="left"/>
              <w:rPr>
                <w:rFonts w:ascii="Times New Roman" w:hAnsi="Times New Roman" w:eastAsia="方正仿宋_GBK"/>
                <w:color w:val="auto"/>
                <w:szCs w:val="21"/>
              </w:rPr>
            </w:pPr>
            <w:r>
              <w:rPr>
                <w:rFonts w:hint="default" w:ascii="Times New Roman" w:hAnsi="Times New Roman" w:eastAsia="方正仿宋_GBK" w:cs="Times New Roman"/>
                <w:color w:val="auto"/>
                <w:szCs w:val="21"/>
                <w:lang w:val="en-US" w:eastAsia="zh-CN"/>
              </w:rPr>
              <w:t>《德宏州人民政府关于进一步加强烟花爆竹燃放安全管理工作的通知》</w:t>
            </w:r>
          </w:p>
        </w:tc>
        <w:tc>
          <w:tcPr>
            <w:tcW w:w="2850" w:type="dxa"/>
            <w:noWrap w:val="0"/>
            <w:vAlign w:val="center"/>
          </w:tcPr>
          <w:p>
            <w:pPr>
              <w:spacing w:line="300" w:lineRule="exact"/>
              <w:jc w:val="left"/>
              <w:rPr>
                <w:rFonts w:ascii="Times New Roman" w:hAnsi="Times New Roman" w:eastAsia="方正仿宋_GBK"/>
                <w:color w:val="auto"/>
                <w:szCs w:val="21"/>
              </w:rPr>
            </w:pPr>
            <w:r>
              <w:rPr>
                <w:rFonts w:hint="default" w:ascii="Times New Roman" w:hAnsi="Times New Roman" w:eastAsia="方正仿宋_GBK" w:cs="Times New Roman"/>
                <w:color w:val="auto"/>
                <w:szCs w:val="21"/>
                <w:lang w:val="en-US" w:eastAsia="zh-CN"/>
              </w:rPr>
              <w:t>为深入贯彻落实科学发展观，牢固树立安全发展的理念，改善我县空气环境质量，防火灾事故发生，保障人民群众生命财产安全，倡导绿色文明的社会新风尚，营造和谐美丽的生产生活环境。</w:t>
            </w:r>
          </w:p>
        </w:tc>
        <w:tc>
          <w:tcPr>
            <w:tcW w:w="2431" w:type="dxa"/>
            <w:noWrap w:val="0"/>
            <w:vAlign w:val="center"/>
          </w:tcPr>
          <w:p>
            <w:pPr>
              <w:spacing w:line="300" w:lineRule="exact"/>
              <w:jc w:val="center"/>
              <w:rPr>
                <w:rFonts w:ascii="Times New Roman" w:hAnsi="Times New Roman" w:eastAsia="方正仿宋_GBK"/>
                <w:color w:val="auto"/>
                <w:szCs w:val="21"/>
              </w:rPr>
            </w:pPr>
            <w:r>
              <w:rPr>
                <w:rFonts w:hint="eastAsia" w:ascii="Times New Roman" w:hAnsi="Times New Roman" w:eastAsia="方正仿宋_GBK"/>
                <w:color w:val="auto"/>
                <w:szCs w:val="21"/>
                <w:lang w:eastAsia="zh-CN"/>
              </w:rPr>
              <w:t>研究</w:t>
            </w:r>
            <w:r>
              <w:rPr>
                <w:rFonts w:hint="eastAsia" w:ascii="方正楷体_GBK" w:hAnsi="方正楷体_GBK" w:eastAsia="方正仿宋_GBK" w:cs="方正楷体_GBK"/>
                <w:b w:val="0"/>
                <w:sz w:val="21"/>
                <w:szCs w:val="21"/>
                <w:vertAlign w:val="baseline"/>
                <w:lang w:val="en-US" w:eastAsia="zh-CN"/>
              </w:rPr>
              <w:t>《梁河县人民政府关于禁止燃放烟花爆竹的通告》</w:t>
            </w:r>
          </w:p>
        </w:tc>
        <w:tc>
          <w:tcPr>
            <w:tcW w:w="854" w:type="dxa"/>
            <w:noWrap w:val="0"/>
            <w:vAlign w:val="center"/>
          </w:tcPr>
          <w:p>
            <w:pPr>
              <w:spacing w:line="300" w:lineRule="exact"/>
              <w:jc w:val="center"/>
              <w:rPr>
                <w:rFonts w:hint="eastAsia" w:ascii="Times New Roman" w:hAnsi="Times New Roman" w:eastAsia="方正仿宋_GBK"/>
                <w:color w:val="auto"/>
                <w:szCs w:val="21"/>
                <w:lang w:eastAsia="zh-CN"/>
              </w:rPr>
            </w:pPr>
            <w:r>
              <w:rPr>
                <w:rFonts w:hint="eastAsia" w:ascii="Times New Roman" w:hAnsi="Times New Roman" w:eastAsia="方正仿宋_GBK"/>
                <w:color w:val="auto"/>
                <w:szCs w:val="21"/>
                <w:lang w:eastAsia="zh-CN"/>
              </w:rPr>
              <w:t>是</w:t>
            </w:r>
          </w:p>
        </w:tc>
        <w:tc>
          <w:tcPr>
            <w:tcW w:w="888" w:type="dxa"/>
            <w:noWrap w:val="0"/>
            <w:vAlign w:val="center"/>
          </w:tcPr>
          <w:p>
            <w:pPr>
              <w:spacing w:line="300" w:lineRule="exact"/>
              <w:jc w:val="center"/>
              <w:rPr>
                <w:rFonts w:ascii="Times New Roman" w:hAnsi="Times New Roman" w:eastAsia="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blHeader/>
          <w:jc w:val="center"/>
        </w:trPr>
        <w:tc>
          <w:tcPr>
            <w:tcW w:w="649" w:type="dxa"/>
            <w:noWrap w:val="0"/>
            <w:vAlign w:val="center"/>
          </w:tcPr>
          <w:p>
            <w:pPr>
              <w:spacing w:line="300" w:lineRule="exact"/>
              <w:jc w:val="center"/>
              <w:rPr>
                <w:rFonts w:ascii="Times New Roman" w:hAnsi="Times New Roman" w:eastAsia="方正仿宋_GBK"/>
                <w:color w:val="auto"/>
                <w:sz w:val="28"/>
                <w:szCs w:val="28"/>
              </w:rPr>
            </w:pPr>
            <w:r>
              <w:rPr>
                <w:rFonts w:ascii="Times New Roman" w:hAnsi="Times New Roman" w:eastAsia="方正仿宋_GBK"/>
                <w:color w:val="auto"/>
                <w:sz w:val="28"/>
                <w:szCs w:val="28"/>
              </w:rPr>
              <w:t>3</w:t>
            </w:r>
          </w:p>
        </w:tc>
        <w:tc>
          <w:tcPr>
            <w:tcW w:w="1535"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《梁河县殡葬管理实施细则（暂行）》</w:t>
            </w:r>
          </w:p>
        </w:tc>
        <w:tc>
          <w:tcPr>
            <w:tcW w:w="1236"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县民政局</w:t>
            </w:r>
          </w:p>
        </w:tc>
        <w:tc>
          <w:tcPr>
            <w:tcW w:w="990"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202</w:t>
            </w:r>
            <w:r>
              <w:rPr>
                <w:rFonts w:hint="eastAsia" w:ascii="Times New Roman" w:hAnsi="Times New Roman" w:eastAsia="方正仿宋_GBK"/>
                <w:color w:val="auto"/>
                <w:szCs w:val="21"/>
                <w:lang w:val="en-US" w:eastAsia="zh-CN"/>
              </w:rPr>
              <w:t>2</w:t>
            </w:r>
            <w:r>
              <w:rPr>
                <w:rFonts w:ascii="Times New Roman" w:hAnsi="Times New Roman" w:eastAsia="方正仿宋_GBK"/>
                <w:color w:val="auto"/>
                <w:szCs w:val="21"/>
              </w:rPr>
              <w:t>年</w:t>
            </w:r>
          </w:p>
        </w:tc>
        <w:tc>
          <w:tcPr>
            <w:tcW w:w="3956" w:type="dxa"/>
            <w:noWrap w:val="0"/>
            <w:vAlign w:val="center"/>
          </w:tcPr>
          <w:p>
            <w:pPr>
              <w:spacing w:line="300" w:lineRule="exact"/>
              <w:jc w:val="left"/>
              <w:rPr>
                <w:rFonts w:hint="eastAsia" w:ascii="Times New Roman" w:hAnsi="Times New Roman" w:eastAsia="方正仿宋_GBK"/>
                <w:color w:val="auto"/>
                <w:szCs w:val="21"/>
                <w:lang w:eastAsia="zh-CN"/>
              </w:rPr>
            </w:pPr>
            <w:r>
              <w:rPr>
                <w:rFonts w:hint="default" w:ascii="Times New Roman" w:hAnsi="Times New Roman" w:eastAsia="方正仿宋_GBK" w:cs="Times New Roman"/>
                <w:color w:val="auto"/>
                <w:szCs w:val="21"/>
              </w:rPr>
              <w:t>《国务院殡葬管理条例》、《云南省殡葬管理条例》、《云南省公墓管理规定》、《德宏州全面深化殡葬改革实施意见》</w:t>
            </w:r>
          </w:p>
        </w:tc>
        <w:tc>
          <w:tcPr>
            <w:tcW w:w="2850" w:type="dxa"/>
            <w:noWrap w:val="0"/>
            <w:vAlign w:val="center"/>
          </w:tcPr>
          <w:p>
            <w:pPr>
              <w:spacing w:line="300" w:lineRule="exact"/>
              <w:jc w:val="left"/>
              <w:rPr>
                <w:rFonts w:ascii="Times New Roman" w:hAnsi="Times New Roman" w:eastAsia="方正仿宋_GBK"/>
                <w:color w:val="auto"/>
                <w:szCs w:val="21"/>
              </w:rPr>
            </w:pPr>
            <w:r>
              <w:rPr>
                <w:rFonts w:hint="default" w:ascii="Times New Roman" w:hAnsi="Times New Roman" w:eastAsia="方正仿宋_GBK" w:cs="Times New Roman"/>
                <w:color w:val="auto"/>
                <w:szCs w:val="21"/>
              </w:rPr>
              <w:t>《梁河县殡葬管理实施细则》（以下简称《细则》）自2020年5月29日以梁政规</w:t>
            </w:r>
            <w:r>
              <w:rPr>
                <w:rFonts w:hint="eastAsia" w:ascii="Times New Roman" w:hAnsi="Times New Roman" w:eastAsia="方正仿宋_GBK" w:cs="Times New Roman"/>
                <w:color w:val="auto"/>
                <w:szCs w:val="21"/>
              </w:rPr>
              <w:t>〔</w:t>
            </w:r>
            <w:r>
              <w:rPr>
                <w:rFonts w:hint="default" w:ascii="Times New Roman" w:hAnsi="Times New Roman" w:eastAsia="方正仿宋_GBK" w:cs="Times New Roman"/>
                <w:color w:val="auto"/>
                <w:szCs w:val="21"/>
              </w:rPr>
              <w:t>2020</w:t>
            </w:r>
            <w:r>
              <w:rPr>
                <w:rFonts w:hint="eastAsia" w:ascii="Times New Roman" w:hAnsi="Times New Roman" w:eastAsia="方正仿宋_GBK" w:cs="Times New Roman"/>
                <w:color w:val="auto"/>
                <w:szCs w:val="21"/>
              </w:rPr>
              <w:t>〕</w:t>
            </w:r>
            <w:r>
              <w:rPr>
                <w:rFonts w:hint="default" w:ascii="Times New Roman" w:hAnsi="Times New Roman" w:eastAsia="方正仿宋_GBK" w:cs="Times New Roman"/>
                <w:color w:val="auto"/>
                <w:szCs w:val="21"/>
              </w:rPr>
              <w:t>1号文件正式下发施行。经过一年多的执行，公墓管理、历史墓地管理、丧葬补助和抚恤金等</w:t>
            </w:r>
            <w:r>
              <w:rPr>
                <w:rFonts w:hint="eastAsia" w:ascii="Times New Roman" w:hAnsi="Times New Roman" w:eastAsia="方正仿宋_GBK" w:cs="Times New Roman"/>
                <w:color w:val="auto"/>
                <w:szCs w:val="21"/>
                <w:lang w:val="en-US" w:eastAsia="zh-CN"/>
              </w:rPr>
              <w:t>方面</w:t>
            </w:r>
            <w:r>
              <w:rPr>
                <w:rFonts w:hint="default" w:ascii="Times New Roman" w:hAnsi="Times New Roman" w:eastAsia="方正仿宋_GBK" w:cs="Times New Roman"/>
                <w:color w:val="auto"/>
                <w:szCs w:val="21"/>
              </w:rPr>
              <w:t>需要进行修改调整。</w:t>
            </w:r>
          </w:p>
        </w:tc>
        <w:tc>
          <w:tcPr>
            <w:tcW w:w="2431"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审议《梁河县殡葬管理实施细则（暂行）》</w:t>
            </w:r>
          </w:p>
        </w:tc>
        <w:tc>
          <w:tcPr>
            <w:tcW w:w="854"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否</w:t>
            </w:r>
          </w:p>
        </w:tc>
        <w:tc>
          <w:tcPr>
            <w:tcW w:w="888" w:type="dxa"/>
            <w:noWrap w:val="0"/>
            <w:vAlign w:val="center"/>
          </w:tcPr>
          <w:p>
            <w:pPr>
              <w:spacing w:line="300" w:lineRule="exact"/>
              <w:jc w:val="center"/>
              <w:rPr>
                <w:rFonts w:ascii="Times New Roman" w:hAnsi="Times New Roman" w:eastAsia="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blHeader/>
          <w:jc w:val="center"/>
        </w:trPr>
        <w:tc>
          <w:tcPr>
            <w:tcW w:w="649" w:type="dxa"/>
            <w:noWrap w:val="0"/>
            <w:vAlign w:val="center"/>
          </w:tcPr>
          <w:p>
            <w:pPr>
              <w:spacing w:line="300" w:lineRule="exact"/>
              <w:jc w:val="center"/>
              <w:rPr>
                <w:rFonts w:ascii="Times New Roman" w:hAnsi="Times New Roman" w:eastAsia="方正仿宋_GBK"/>
                <w:color w:val="auto"/>
                <w:sz w:val="28"/>
                <w:szCs w:val="28"/>
              </w:rPr>
            </w:pPr>
            <w:r>
              <w:rPr>
                <w:rFonts w:ascii="Times New Roman" w:hAnsi="Times New Roman" w:eastAsia="方正仿宋_GBK"/>
                <w:color w:val="auto"/>
                <w:sz w:val="28"/>
                <w:szCs w:val="28"/>
              </w:rPr>
              <w:t>4</w:t>
            </w:r>
          </w:p>
        </w:tc>
        <w:tc>
          <w:tcPr>
            <w:tcW w:w="1535"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《梁河县人防专项规划》</w:t>
            </w:r>
          </w:p>
        </w:tc>
        <w:tc>
          <w:tcPr>
            <w:tcW w:w="1236" w:type="dxa"/>
            <w:noWrap w:val="0"/>
            <w:vAlign w:val="center"/>
          </w:tcPr>
          <w:p>
            <w:pPr>
              <w:spacing w:line="300" w:lineRule="exact"/>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县住建局</w:t>
            </w:r>
          </w:p>
        </w:tc>
        <w:tc>
          <w:tcPr>
            <w:tcW w:w="990"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202</w:t>
            </w:r>
            <w:r>
              <w:rPr>
                <w:rFonts w:hint="eastAsia" w:ascii="Times New Roman" w:hAnsi="Times New Roman" w:eastAsia="方正仿宋_GBK"/>
                <w:color w:val="auto"/>
                <w:szCs w:val="21"/>
                <w:lang w:val="en-US" w:eastAsia="zh-CN"/>
              </w:rPr>
              <w:t>2</w:t>
            </w:r>
            <w:r>
              <w:rPr>
                <w:rFonts w:ascii="Times New Roman" w:hAnsi="Times New Roman" w:eastAsia="方正仿宋_GBK"/>
                <w:color w:val="auto"/>
                <w:szCs w:val="21"/>
              </w:rPr>
              <w:t>年</w:t>
            </w:r>
          </w:p>
        </w:tc>
        <w:tc>
          <w:tcPr>
            <w:tcW w:w="3956" w:type="dxa"/>
            <w:noWrap w:val="0"/>
            <w:vAlign w:val="center"/>
          </w:tcPr>
          <w:p>
            <w:pPr>
              <w:spacing w:line="300" w:lineRule="exact"/>
              <w:jc w:val="left"/>
              <w:rPr>
                <w:rFonts w:hint="eastAsia" w:ascii="Times New Roman" w:hAnsi="Times New Roman" w:eastAsia="方正仿宋_GBK"/>
                <w:color w:val="auto"/>
                <w:szCs w:val="21"/>
                <w:lang w:eastAsia="zh-CN"/>
              </w:rPr>
            </w:pPr>
            <w:r>
              <w:rPr>
                <w:rFonts w:hint="default" w:ascii="Times New Roman" w:hAnsi="Times New Roman" w:eastAsia="方正仿宋_GBK" w:cs="Times New Roman"/>
                <w:color w:val="auto"/>
                <w:szCs w:val="21"/>
                <w:lang w:val="en-US" w:eastAsia="zh-CN"/>
              </w:rPr>
              <w:t>《中华人民共和国人民防空法》办法第八条</w:t>
            </w:r>
            <w:r>
              <w:rPr>
                <w:rFonts w:hint="eastAsia" w:ascii="Times New Roman" w:hAnsi="Times New Roman" w:eastAsia="方正仿宋_GBK" w:cs="Times New Roman"/>
                <w:color w:val="auto"/>
                <w:szCs w:val="21"/>
                <w:lang w:val="en-US" w:eastAsia="zh-CN"/>
              </w:rPr>
              <w:t>“</w:t>
            </w:r>
            <w:r>
              <w:rPr>
                <w:rFonts w:hint="default" w:ascii="Times New Roman" w:hAnsi="Times New Roman" w:eastAsia="方正仿宋_GBK" w:cs="Times New Roman"/>
                <w:color w:val="auto"/>
                <w:szCs w:val="21"/>
                <w:lang w:val="en-US" w:eastAsia="zh-CN"/>
              </w:rPr>
              <w:t>人民防空工程建设规划由城市人民政府组织人民防空主管部门会同规划部门共同编制，并纳入城市总体规划</w:t>
            </w:r>
            <w:r>
              <w:rPr>
                <w:rFonts w:hint="eastAsia" w:ascii="Times New Roman" w:hAnsi="Times New Roman" w:eastAsia="方正仿宋_GBK" w:cs="Times New Roman"/>
                <w:color w:val="auto"/>
                <w:szCs w:val="21"/>
                <w:lang w:val="en-US" w:eastAsia="zh-CN"/>
              </w:rPr>
              <w:t>”的规定和</w:t>
            </w:r>
            <w:r>
              <w:rPr>
                <w:rFonts w:hint="default" w:ascii="Times New Roman" w:hAnsi="Times New Roman" w:eastAsia="方正仿宋_GBK" w:cs="Times New Roman"/>
                <w:color w:val="auto"/>
                <w:szCs w:val="21"/>
                <w:lang w:val="en-US" w:eastAsia="zh-CN"/>
              </w:rPr>
              <w:t>德宏州住房和城乡建设局“十四五”规划</w:t>
            </w:r>
          </w:p>
        </w:tc>
        <w:tc>
          <w:tcPr>
            <w:tcW w:w="2850" w:type="dxa"/>
            <w:noWrap w:val="0"/>
            <w:vAlign w:val="center"/>
          </w:tcPr>
          <w:p>
            <w:pPr>
              <w:spacing w:line="300" w:lineRule="exact"/>
              <w:jc w:val="left"/>
              <w:rPr>
                <w:rFonts w:ascii="Times New Roman" w:hAnsi="Times New Roman" w:eastAsia="方正仿宋_GBK"/>
                <w:color w:val="auto"/>
                <w:szCs w:val="21"/>
              </w:rPr>
            </w:pPr>
            <w:r>
              <w:rPr>
                <w:rFonts w:hint="eastAsia" w:ascii="Times New Roman" w:hAnsi="Times New Roman" w:eastAsia="方正仿宋_GBK" w:cs="Times New Roman"/>
                <w:color w:val="auto"/>
                <w:szCs w:val="21"/>
                <w:lang w:val="en-US" w:eastAsia="zh-CN"/>
              </w:rPr>
              <w:t>完善《梁河县人防专项规划》编制工作。</w:t>
            </w:r>
          </w:p>
        </w:tc>
        <w:tc>
          <w:tcPr>
            <w:tcW w:w="2431"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审议《梁河县人防专项规划》</w:t>
            </w:r>
          </w:p>
        </w:tc>
        <w:tc>
          <w:tcPr>
            <w:tcW w:w="854"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否</w:t>
            </w:r>
          </w:p>
        </w:tc>
        <w:tc>
          <w:tcPr>
            <w:tcW w:w="888" w:type="dxa"/>
            <w:noWrap w:val="0"/>
            <w:vAlign w:val="center"/>
          </w:tcPr>
          <w:p>
            <w:pPr>
              <w:spacing w:line="300" w:lineRule="exact"/>
              <w:jc w:val="center"/>
              <w:rPr>
                <w:rFonts w:ascii="Times New Roman" w:hAnsi="Times New Roman" w:eastAsia="方正仿宋_GBK"/>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blHeader/>
          <w:jc w:val="center"/>
        </w:trPr>
        <w:tc>
          <w:tcPr>
            <w:tcW w:w="649" w:type="dxa"/>
            <w:noWrap w:val="0"/>
            <w:vAlign w:val="center"/>
          </w:tcPr>
          <w:p>
            <w:pPr>
              <w:spacing w:line="300" w:lineRule="exact"/>
              <w:jc w:val="center"/>
              <w:rPr>
                <w:rFonts w:ascii="Times New Roman" w:hAnsi="Times New Roman" w:eastAsia="方正仿宋_GBK"/>
                <w:color w:val="auto"/>
                <w:sz w:val="28"/>
                <w:szCs w:val="28"/>
              </w:rPr>
            </w:pPr>
            <w:r>
              <w:rPr>
                <w:rFonts w:ascii="Times New Roman" w:hAnsi="Times New Roman" w:eastAsia="方正仿宋_GBK"/>
                <w:color w:val="auto"/>
                <w:sz w:val="28"/>
                <w:szCs w:val="28"/>
              </w:rPr>
              <w:t>5</w:t>
            </w:r>
          </w:p>
        </w:tc>
        <w:tc>
          <w:tcPr>
            <w:tcW w:w="1535" w:type="dxa"/>
            <w:noWrap w:val="0"/>
            <w:vAlign w:val="center"/>
          </w:tcPr>
          <w:p>
            <w:pPr>
              <w:spacing w:line="300" w:lineRule="exact"/>
              <w:jc w:val="center"/>
              <w:rPr>
                <w:rFonts w:ascii="Times New Roman" w:hAnsi="Times New Roman" w:eastAsia="方正仿宋_GBK"/>
                <w:color w:val="auto"/>
                <w:szCs w:val="21"/>
              </w:rPr>
            </w:pPr>
            <w:r>
              <w:rPr>
                <w:rFonts w:hint="default" w:ascii="方正楷体_GBK" w:hAnsi="方正楷体_GBK" w:eastAsia="方正仿宋_GBK" w:cs="方正楷体_GBK"/>
                <w:b w:val="0"/>
                <w:sz w:val="21"/>
                <w:szCs w:val="21"/>
                <w:vertAlign w:val="baseline"/>
                <w:lang w:val="en-US" w:eastAsia="zh-CN"/>
              </w:rPr>
              <w:t>《梁河县2022年公共租赁住房租赁补贴发放方案（草案）》</w:t>
            </w:r>
          </w:p>
        </w:tc>
        <w:tc>
          <w:tcPr>
            <w:tcW w:w="1236" w:type="dxa"/>
            <w:noWrap w:val="0"/>
            <w:vAlign w:val="center"/>
          </w:tcPr>
          <w:p>
            <w:pPr>
              <w:spacing w:line="300" w:lineRule="exact"/>
              <w:jc w:val="center"/>
              <w:rPr>
                <w:rFonts w:ascii="Times New Roman" w:hAnsi="Times New Roman" w:eastAsia="方正仿宋_GBK"/>
                <w:color w:val="auto"/>
                <w:szCs w:val="21"/>
              </w:rPr>
            </w:pPr>
            <w:r>
              <w:rPr>
                <w:rFonts w:hint="eastAsia" w:ascii="方正楷体_GBK" w:hAnsi="方正楷体_GBK" w:eastAsia="方正仿宋_GBK" w:cs="方正楷体_GBK"/>
                <w:b w:val="0"/>
                <w:sz w:val="21"/>
                <w:szCs w:val="21"/>
                <w:vertAlign w:val="baseline"/>
                <w:lang w:val="en-US" w:eastAsia="zh-CN"/>
              </w:rPr>
              <w:t>县住建局</w:t>
            </w:r>
          </w:p>
        </w:tc>
        <w:tc>
          <w:tcPr>
            <w:tcW w:w="990"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202</w:t>
            </w:r>
            <w:r>
              <w:rPr>
                <w:rFonts w:hint="eastAsia" w:ascii="Times New Roman" w:hAnsi="Times New Roman" w:eastAsia="方正仿宋_GBK"/>
                <w:color w:val="auto"/>
                <w:szCs w:val="21"/>
                <w:lang w:val="en-US" w:eastAsia="zh-CN"/>
              </w:rPr>
              <w:t>2</w:t>
            </w:r>
            <w:r>
              <w:rPr>
                <w:rFonts w:ascii="Times New Roman" w:hAnsi="Times New Roman" w:eastAsia="方正仿宋_GBK"/>
                <w:color w:val="auto"/>
                <w:szCs w:val="21"/>
              </w:rPr>
              <w:t>年</w:t>
            </w:r>
          </w:p>
        </w:tc>
        <w:tc>
          <w:tcPr>
            <w:tcW w:w="3956" w:type="dxa"/>
            <w:noWrap w:val="0"/>
            <w:vAlign w:val="center"/>
          </w:tcPr>
          <w:p>
            <w:pPr>
              <w:spacing w:line="300" w:lineRule="exact"/>
              <w:jc w:val="left"/>
              <w:rPr>
                <w:rFonts w:ascii="Times New Roman" w:hAnsi="Times New Roman" w:eastAsia="方正仿宋_GBK"/>
                <w:color w:val="auto"/>
                <w:szCs w:val="21"/>
              </w:rPr>
            </w:pPr>
            <w:r>
              <w:rPr>
                <w:rFonts w:hint="default" w:ascii="Times New Roman" w:hAnsi="Times New Roman" w:eastAsia="方正仿宋_GBK" w:cs="Times New Roman"/>
                <w:color w:val="auto"/>
                <w:szCs w:val="21"/>
              </w:rPr>
              <w:t>《国务院办公厅关于加快培育和发展住房租赁市场的若干意见》（国办发〔2016〕39号）、《住房城乡建设部 财政部关于做好城镇住房保障家庭租赁补贴工作的指导意见》（建保〔2016〕281号）、《德宏州公共租赁住房管理办法》（德政规〔2018〕2号</w:t>
            </w:r>
            <w:r>
              <w:rPr>
                <w:rFonts w:hint="default" w:ascii="Times New Roman" w:hAnsi="Times New Roman" w:eastAsia="方正仿宋_GBK" w:cs="Times New Roman"/>
                <w:color w:val="auto"/>
                <w:szCs w:val="21"/>
                <w:lang w:val="en-US" w:eastAsia="zh-CN"/>
              </w:rPr>
              <w:t>）</w:t>
            </w:r>
          </w:p>
        </w:tc>
        <w:tc>
          <w:tcPr>
            <w:tcW w:w="2850" w:type="dxa"/>
            <w:noWrap w:val="0"/>
            <w:vAlign w:val="center"/>
          </w:tcPr>
          <w:p>
            <w:pPr>
              <w:spacing w:line="300" w:lineRule="exact"/>
              <w:jc w:val="left"/>
              <w:rPr>
                <w:rFonts w:hint="eastAsia" w:ascii="Times New Roman" w:hAnsi="Times New Roman" w:eastAsia="方正仿宋_GBK"/>
                <w:color w:val="auto"/>
                <w:szCs w:val="21"/>
                <w:lang w:eastAsia="zh-CN"/>
              </w:rPr>
            </w:pPr>
            <w:r>
              <w:rPr>
                <w:rFonts w:hint="default" w:ascii="Times New Roman" w:hAnsi="Times New Roman" w:eastAsia="方正仿宋_GBK" w:cs="Times New Roman"/>
                <w:color w:val="auto"/>
                <w:szCs w:val="21"/>
              </w:rPr>
              <w:t>为切实解决保障对象的住房困难问题</w:t>
            </w:r>
            <w:r>
              <w:rPr>
                <w:rFonts w:hint="eastAsia" w:ascii="Times New Roman" w:hAnsi="Times New Roman" w:eastAsia="方正仿宋_GBK" w:cs="Times New Roman"/>
                <w:color w:val="auto"/>
                <w:szCs w:val="21"/>
                <w:lang w:eastAsia="zh-CN"/>
              </w:rPr>
              <w:t>，</w:t>
            </w:r>
            <w:r>
              <w:rPr>
                <w:rFonts w:hint="default" w:ascii="Times New Roman" w:hAnsi="Times New Roman" w:eastAsia="方正仿宋_GBK" w:cs="Times New Roman"/>
                <w:szCs w:val="32"/>
                <w:lang w:eastAsia="zh-CN"/>
              </w:rPr>
              <w:t>制定本方案</w:t>
            </w:r>
            <w:r>
              <w:rPr>
                <w:rFonts w:hint="eastAsia" w:ascii="Times New Roman" w:hAnsi="Times New Roman" w:eastAsia="方正仿宋_GBK" w:cs="Times New Roman"/>
                <w:szCs w:val="32"/>
                <w:lang w:eastAsia="zh-CN"/>
              </w:rPr>
              <w:t>。</w:t>
            </w:r>
          </w:p>
        </w:tc>
        <w:tc>
          <w:tcPr>
            <w:tcW w:w="2431"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审议</w:t>
            </w:r>
            <w:r>
              <w:rPr>
                <w:rFonts w:hint="default" w:ascii="方正楷体_GBK" w:hAnsi="方正楷体_GBK" w:eastAsia="方正仿宋_GBK" w:cs="方正楷体_GBK"/>
                <w:b w:val="0"/>
                <w:sz w:val="21"/>
                <w:szCs w:val="21"/>
                <w:vertAlign w:val="baseline"/>
                <w:lang w:val="en-US" w:eastAsia="zh-CN"/>
              </w:rPr>
              <w:t>《梁河县2022年公共租赁住房租赁补贴发放方案（草案）》</w:t>
            </w:r>
          </w:p>
        </w:tc>
        <w:tc>
          <w:tcPr>
            <w:tcW w:w="854" w:type="dxa"/>
            <w:noWrap w:val="0"/>
            <w:vAlign w:val="center"/>
          </w:tcPr>
          <w:p>
            <w:pPr>
              <w:spacing w:line="300" w:lineRule="exact"/>
              <w:jc w:val="center"/>
              <w:rPr>
                <w:rFonts w:ascii="Times New Roman" w:hAnsi="Times New Roman" w:eastAsia="方正仿宋_GBK"/>
                <w:color w:val="auto"/>
                <w:szCs w:val="21"/>
              </w:rPr>
            </w:pPr>
            <w:r>
              <w:rPr>
                <w:rFonts w:ascii="Times New Roman" w:hAnsi="Times New Roman" w:eastAsia="方正仿宋_GBK"/>
                <w:color w:val="auto"/>
                <w:szCs w:val="21"/>
              </w:rPr>
              <w:t>否</w:t>
            </w:r>
          </w:p>
        </w:tc>
        <w:tc>
          <w:tcPr>
            <w:tcW w:w="888" w:type="dxa"/>
            <w:noWrap w:val="0"/>
            <w:vAlign w:val="center"/>
          </w:tcPr>
          <w:p>
            <w:pPr>
              <w:spacing w:line="300" w:lineRule="exact"/>
              <w:jc w:val="center"/>
              <w:rPr>
                <w:rFonts w:ascii="Times New Roman" w:hAnsi="Times New Roman" w:eastAsia="方正仿宋_GBK"/>
                <w:color w:val="auto"/>
                <w:szCs w:val="21"/>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imes New Roman" w:hAnsi="Times New Roman" w:eastAsia="方正仿宋_GBK"/>
          <w:color w:val="auto"/>
          <w:sz w:val="32"/>
          <w:szCs w:val="32"/>
        </w:rPr>
      </w:pPr>
    </w:p>
    <w:p>
      <w:pPr>
        <w:bidi w:val="0"/>
        <w:rPr>
          <w:rFonts w:hint="eastAsia" w:eastAsia="方正仿宋_GBK"/>
          <w:lang w:eastAsia="zh-CN"/>
        </w:rPr>
      </w:pPr>
    </w:p>
    <w:p/>
    <w:sectPr>
      <w:footerReference r:id="rId3" w:type="default"/>
      <w:pgSz w:w="16838" w:h="11906" w:orient="landscape"/>
      <w:pgMar w:top="1474" w:right="1871" w:bottom="1417" w:left="1440"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4"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ZjJhNzQ0MzkwZjNkNDc0NjJmM2YzNzBiZDNlYWIifQ=="/>
  </w:docVars>
  <w:rsids>
    <w:rsidRoot w:val="00000000"/>
    <w:rsid w:val="13457C52"/>
    <w:rsid w:val="2B80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600" w:lineRule="exact"/>
      <w:outlineLvl w:val="0"/>
    </w:pPr>
    <w:rPr>
      <w:rFonts w:eastAsia="方正黑体_GBK"/>
      <w:kern w:val="44"/>
      <w:sz w:val="32"/>
    </w:rPr>
  </w:style>
  <w:style w:type="paragraph" w:styleId="4">
    <w:name w:val="heading 2"/>
    <w:basedOn w:val="1"/>
    <w:next w:val="1"/>
    <w:autoRedefine/>
    <w:semiHidden/>
    <w:unhideWhenUsed/>
    <w:qFormat/>
    <w:uiPriority w:val="0"/>
    <w:pPr>
      <w:keepNext/>
      <w:keepLines/>
      <w:spacing w:beforeLines="0" w:beforeAutospacing="0" w:afterLines="0" w:afterAutospacing="0" w:line="600" w:lineRule="exact"/>
      <w:outlineLvl w:val="1"/>
    </w:pPr>
    <w:rPr>
      <w:rFonts w:ascii="Arial" w:hAnsi="Arial" w:eastAsia="方正楷体_GBK"/>
    </w:rPr>
  </w:style>
  <w:style w:type="character" w:default="1" w:styleId="11">
    <w:name w:val="Default Paragraph Font"/>
    <w:autoRedefine/>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rPr>
      <w:rFonts w:ascii="Calibri" w:hAnsi="Calibri" w:eastAsia="宋体" w:cs="Times New Roman"/>
    </w:rPr>
  </w:style>
  <w:style w:type="paragraph" w:styleId="5">
    <w:name w:val="Body Text"/>
    <w:basedOn w:val="1"/>
    <w:next w:val="6"/>
    <w:autoRedefine/>
    <w:qFormat/>
    <w:uiPriority w:val="0"/>
    <w:pPr>
      <w:spacing w:afterLines="0"/>
    </w:pPr>
    <w:rPr>
      <w:rFonts w:ascii="宋体"/>
      <w:sz w:val="32"/>
    </w:rPr>
  </w:style>
  <w:style w:type="paragraph" w:styleId="6">
    <w:name w:val="toc 5"/>
    <w:basedOn w:val="1"/>
    <w:next w:val="1"/>
    <w:autoRedefine/>
    <w:qFormat/>
    <w:uiPriority w:val="0"/>
    <w:pPr>
      <w:ind w:left="1680"/>
    </w:pPr>
    <w:rPr>
      <w:rFonts w:ascii="Calibri" w:hAnsi="Calibri"/>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Char"/>
    <w:basedOn w:val="11"/>
    <w:link w:val="7"/>
    <w:autoRedefine/>
    <w:uiPriority w:val="0"/>
    <w:rPr>
      <w:rFonts w:asciiTheme="minorHAnsi" w:hAnsiTheme="minorHAnsi" w:eastAsiaTheme="minorEastAsia" w:cstheme="minorBidi"/>
      <w:sz w:val="18"/>
      <w:szCs w:val="18"/>
    </w:rPr>
  </w:style>
  <w:style w:type="character" w:customStyle="1" w:styleId="13">
    <w:name w:val="页眉 Char"/>
    <w:basedOn w:val="11"/>
    <w:link w:val="8"/>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Building Blocks.dotx</Template>
  <Company>德宏州梁河县党政机关单位</Company>
  <Pages>2</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2022-08-05T08:22:00Z</dcterms:created>
  <dc:creator>Administrator</dc:creator>
  <cp:lastModifiedBy>en丽</cp:lastModifiedBy>
  <dcterms:modified xsi:type="dcterms:W3CDTF">2024-04-10T20:30:03Z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05E411BBA46E4B6C85DAFDA908852CDF_13</vt:lpwstr>
  </property>
</Properties>
</file>