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21A9B7">
      <w:pPr>
        <w:pStyle w:val="28"/>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梁河县人民政府关于印发梁河县</w:t>
      </w:r>
    </w:p>
    <w:p w14:paraId="191E1993">
      <w:pPr>
        <w:pStyle w:val="28"/>
        <w:keepNext w:val="0"/>
        <w:keepLines w:val="0"/>
        <w:widowControl/>
        <w:suppressLineNumbers w:val="0"/>
        <w:spacing w:before="0" w:beforeAutospacing="0" w:after="0" w:afterAutospacing="0"/>
        <w:ind w:left="0" w:right="0" w:firstLine="0"/>
        <w:jc w:val="center"/>
        <w:rPr>
          <w:rFonts w:hint="eastAsia" w:ascii="仿宋" w:hAnsi="仿宋" w:eastAsia="仿宋" w:cs="仿宋"/>
          <w:sz w:val="32"/>
          <w:szCs w:val="32"/>
        </w:rPr>
      </w:pPr>
      <w:r>
        <w:rPr>
          <w:rFonts w:hint="eastAsia" w:ascii="方正小标宋_GBK" w:hAnsi="方正小标宋_GBK" w:eastAsia="方正小标宋_GBK" w:cs="方正小标宋_GBK"/>
          <w:sz w:val="36"/>
          <w:szCs w:val="36"/>
        </w:rPr>
        <w:t>县级储备粮管理办法的通知</w:t>
      </w:r>
    </w:p>
    <w:p w14:paraId="029D828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32"/>
          <w:szCs w:val="32"/>
        </w:rPr>
      </w:pPr>
    </w:p>
    <w:p w14:paraId="1E58C25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梁政规〔202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号</w:t>
      </w:r>
    </w:p>
    <w:p w14:paraId="26827F18">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14:paraId="59C5BE09">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各乡镇人民政府，县直和中央、省、州驻梁河各单位：</w:t>
      </w:r>
    </w:p>
    <w:p w14:paraId="096780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现将《梁河县县级储备粮管理办法》印发给你们，请认真贯彻落实。</w:t>
      </w:r>
    </w:p>
    <w:p w14:paraId="136889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DCD96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E8F8C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p>
    <w:p w14:paraId="675B8D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（此件公开发布）</w:t>
      </w:r>
    </w:p>
    <w:p w14:paraId="1C8E8A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3808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4F58BEB">
      <w:pPr>
        <w:pStyle w:val="2"/>
        <w:rPr>
          <w:rFonts w:hint="eastAsia" w:ascii="仿宋" w:hAnsi="仿宋" w:eastAsia="仿宋" w:cs="仿宋"/>
          <w:sz w:val="32"/>
          <w:szCs w:val="32"/>
        </w:rPr>
      </w:pPr>
    </w:p>
    <w:p w14:paraId="0F5E60C9">
      <w:pPr>
        <w:pStyle w:val="2"/>
        <w:rPr>
          <w:rFonts w:hint="eastAsia" w:ascii="仿宋" w:hAnsi="仿宋" w:eastAsia="仿宋" w:cs="仿宋"/>
          <w:sz w:val="32"/>
          <w:szCs w:val="32"/>
        </w:rPr>
      </w:pPr>
    </w:p>
    <w:p w14:paraId="1B4922F7">
      <w:pPr>
        <w:pStyle w:val="2"/>
        <w:rPr>
          <w:rFonts w:hint="eastAsia" w:ascii="仿宋" w:hAnsi="仿宋" w:eastAsia="仿宋" w:cs="仿宋"/>
          <w:sz w:val="32"/>
          <w:szCs w:val="32"/>
        </w:rPr>
      </w:pPr>
    </w:p>
    <w:p w14:paraId="1815800A">
      <w:pPr>
        <w:pStyle w:val="2"/>
        <w:rPr>
          <w:rFonts w:hint="eastAsia" w:ascii="仿宋" w:hAnsi="仿宋" w:eastAsia="仿宋" w:cs="仿宋"/>
          <w:sz w:val="32"/>
          <w:szCs w:val="32"/>
        </w:rPr>
      </w:pPr>
    </w:p>
    <w:p w14:paraId="405EB355">
      <w:pPr>
        <w:pStyle w:val="2"/>
        <w:rPr>
          <w:rFonts w:hint="eastAsia" w:ascii="仿宋" w:hAnsi="仿宋" w:eastAsia="仿宋" w:cs="仿宋"/>
          <w:sz w:val="32"/>
          <w:szCs w:val="32"/>
        </w:rPr>
      </w:pPr>
    </w:p>
    <w:p w14:paraId="4E82CF33">
      <w:pPr>
        <w:pStyle w:val="2"/>
        <w:rPr>
          <w:rFonts w:hint="eastAsia" w:ascii="仿宋" w:hAnsi="仿宋" w:eastAsia="仿宋" w:cs="仿宋"/>
          <w:sz w:val="32"/>
          <w:szCs w:val="32"/>
        </w:rPr>
      </w:pPr>
    </w:p>
    <w:p w14:paraId="6344C940">
      <w:pPr>
        <w:pStyle w:val="2"/>
        <w:rPr>
          <w:rFonts w:hint="eastAsia" w:ascii="仿宋" w:hAnsi="仿宋" w:eastAsia="仿宋" w:cs="仿宋"/>
          <w:sz w:val="32"/>
          <w:szCs w:val="32"/>
        </w:rPr>
      </w:pPr>
    </w:p>
    <w:p w14:paraId="709E27E4">
      <w:pPr>
        <w:pStyle w:val="2"/>
        <w:rPr>
          <w:rFonts w:hint="eastAsia" w:ascii="仿宋" w:hAnsi="仿宋" w:eastAsia="仿宋" w:cs="仿宋"/>
          <w:sz w:val="32"/>
          <w:szCs w:val="32"/>
        </w:rPr>
      </w:pPr>
    </w:p>
    <w:p w14:paraId="05916EDC">
      <w:pPr>
        <w:pStyle w:val="2"/>
        <w:rPr>
          <w:rFonts w:hint="eastAsia" w:ascii="仿宋" w:hAnsi="仿宋" w:eastAsia="仿宋" w:cs="仿宋"/>
          <w:sz w:val="32"/>
          <w:szCs w:val="32"/>
        </w:rPr>
      </w:pPr>
    </w:p>
    <w:p w14:paraId="7F1C330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梁河县县级储备粮管理办法</w:t>
      </w:r>
    </w:p>
    <w:p w14:paraId="0C65A675">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14:paraId="113C0B5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29F44C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54F59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第一条  </w:t>
      </w:r>
      <w:r>
        <w:rPr>
          <w:rFonts w:hint="eastAsia" w:ascii="仿宋" w:hAnsi="仿宋" w:eastAsia="仿宋" w:cs="仿宋"/>
          <w:sz w:val="32"/>
          <w:szCs w:val="32"/>
          <w:lang w:val="en-US" w:eastAsia="zh-CN"/>
        </w:rPr>
        <w:t>为切实加强县级储备粮管理，确保县级储备粮数量真实、质量良好、储存安全和管理规范，维护粮食市场基本稳定，有效发挥县级储备粮在我县宏观调控中的作用，根据《粮食流通管理条例》《中央储备粮管理条例》《云南省省级政府储备粮轮换管理暂行办法》《中共德宏州委办公室 德宏州人民政府办公室关于改革完善体制机制加强粮食储备安全管理的实施意见》和《德宏州州级储备粮管理办法》及有关法律法规和政策规定，结合梁河县实际，制定本办法。</w:t>
      </w:r>
    </w:p>
    <w:p w14:paraId="324320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第二条 </w:t>
      </w:r>
      <w:r>
        <w:rPr>
          <w:rFonts w:hint="eastAsia" w:ascii="仿宋" w:hAnsi="仿宋" w:eastAsia="仿宋" w:cs="仿宋"/>
          <w:sz w:val="32"/>
          <w:szCs w:val="32"/>
          <w:lang w:val="en-US" w:eastAsia="zh-CN"/>
        </w:rPr>
        <w:t xml:space="preserve"> 本办法所称县级储备粮，粮权属于梁河县人民政府，是用于调节全县粮食供求总量，稳定粮食市场，以及应对重大自然灾害或者其他突发事件等情况的粮食（含成品粮，下同）。</w:t>
      </w:r>
    </w:p>
    <w:p w14:paraId="13FADF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第三条</w:t>
      </w:r>
      <w:r>
        <w:rPr>
          <w:rFonts w:hint="eastAsia" w:ascii="仿宋" w:hAnsi="仿宋" w:eastAsia="仿宋" w:cs="仿宋"/>
          <w:sz w:val="32"/>
          <w:szCs w:val="32"/>
          <w:lang w:val="en-US" w:eastAsia="zh-CN"/>
        </w:rPr>
        <w:t xml:space="preserve">  从事和参与县级储备粮运营管理、监督活动的单位和个人，必须遵守本办法。</w:t>
      </w:r>
    </w:p>
    <w:p w14:paraId="1458C8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第四条 </w:t>
      </w:r>
      <w:r>
        <w:rPr>
          <w:rFonts w:hint="eastAsia" w:ascii="仿宋" w:hAnsi="仿宋" w:eastAsia="仿宋" w:cs="仿宋"/>
          <w:sz w:val="32"/>
          <w:szCs w:val="32"/>
          <w:lang w:val="en-US" w:eastAsia="zh-CN"/>
        </w:rPr>
        <w:t xml:space="preserve"> 县级储备粮的管理实行党政同责、科学定位、合理布局、健全制度、规范管理、落实责任，确保县级储备粮数量真实、质量良好、储存安全和管理规范，确保县级储备粮储得进、管得好、调得动、用得上，并节约成本、费用。</w:t>
      </w:r>
    </w:p>
    <w:p w14:paraId="597958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未经县人民政府批准，任何单位和个人不得擅自动用县级储备粮。</w:t>
      </w:r>
    </w:p>
    <w:p w14:paraId="5A8E0F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第五条 </w:t>
      </w:r>
      <w:r>
        <w:rPr>
          <w:rFonts w:hint="eastAsia" w:ascii="仿宋" w:hAnsi="仿宋" w:eastAsia="仿宋" w:cs="仿宋"/>
          <w:sz w:val="32"/>
          <w:szCs w:val="32"/>
          <w:lang w:val="en-US" w:eastAsia="zh-CN"/>
        </w:rPr>
        <w:t xml:space="preserve"> 县人民政府加强县级储备粮能力建设，建立与经济发展水平相适应的县级储备粮规模、品种结构以及相应的管理费用标准等动态调整机制。</w:t>
      </w:r>
    </w:p>
    <w:p w14:paraId="338485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 xml:space="preserve">  县发展和改革局（县粮食和物资储备局）负责本行政区域内县级储备粮的行政管理，并对县级储备粮的数量、质量和储存安全实施监督检查。县发展和改革局（县粮食和物资储备局）会同县财政局负责拟定县级储备粮的规模、总体布局和动用方案。</w:t>
      </w:r>
    </w:p>
    <w:p w14:paraId="7750B4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县财政局负责安排县级储备粮的贷款利息、保管费、轮换费、轮换价差亏损等财政补贴，并及时、足额拨付和督促检查使用情况；负责对县级储备粮有关财务执行情况实施监督检查。</w:t>
      </w:r>
    </w:p>
    <w:p w14:paraId="533E5E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第八条</w:t>
      </w:r>
      <w:r>
        <w:rPr>
          <w:rFonts w:hint="eastAsia" w:ascii="仿宋" w:hAnsi="仿宋" w:eastAsia="仿宋" w:cs="仿宋"/>
          <w:sz w:val="32"/>
          <w:szCs w:val="32"/>
          <w:lang w:val="en-US" w:eastAsia="zh-CN"/>
        </w:rPr>
        <w:t xml:space="preserve">  中国农业发展银行盈江县支行按照国家有关规定，负责及时、足额安排县级储备粮所需贷款，并对所发放的县级储备粮贷款实施信贷监管。</w:t>
      </w:r>
    </w:p>
    <w:p w14:paraId="0D4361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第九条</w:t>
      </w:r>
      <w:r>
        <w:rPr>
          <w:rFonts w:hint="eastAsia" w:ascii="仿宋" w:hAnsi="仿宋" w:eastAsia="仿宋" w:cs="仿宋"/>
          <w:sz w:val="32"/>
          <w:szCs w:val="32"/>
          <w:lang w:val="en-US" w:eastAsia="zh-CN"/>
        </w:rPr>
        <w:t xml:space="preserve">  县级储备粮承储企业（以下简称承储企业）应当按照储备与经营分开的原则，完善储备运营管理制度，具体负责县级储备粮的经营管理，并对县级储备粮的数量真实、质量良好、储存安全和资金安全负责。</w:t>
      </w:r>
    </w:p>
    <w:p w14:paraId="10BA05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第十条</w:t>
      </w:r>
      <w:r>
        <w:rPr>
          <w:rFonts w:hint="eastAsia" w:ascii="仿宋" w:hAnsi="仿宋" w:eastAsia="仿宋" w:cs="仿宋"/>
          <w:sz w:val="32"/>
          <w:szCs w:val="32"/>
          <w:lang w:val="en-US" w:eastAsia="zh-CN"/>
        </w:rPr>
        <w:t xml:space="preserve">  任何单位和个人不得骗取、挤占、截留、挪用县级储备粮贷款或者贷款利息、管理费用等财政补贴。</w:t>
      </w:r>
    </w:p>
    <w:p w14:paraId="1B3787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任何单位和个人不得侵占、损坏、擅自拆除县级储备粮仓储设施，不得擅自改变县级储备粮仓储设施用途，不得危害县级储备粮仓储设施安全和粮油储存安全。不得偷盗、哄抢或者损毁县级储备粮。</w:t>
      </w:r>
    </w:p>
    <w:p w14:paraId="674E8A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县级储备粮存储地的人民政府对破坏县级储备粮仓储设施，偷盗、哄抢或者损毁县级储备粮的违法行为，应当依法予以制止、查处。</w:t>
      </w:r>
    </w:p>
    <w:p w14:paraId="3B5242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 xml:space="preserve">第十二条 </w:t>
      </w:r>
      <w:r>
        <w:rPr>
          <w:rFonts w:hint="eastAsia" w:ascii="仿宋" w:hAnsi="仿宋" w:eastAsia="仿宋" w:cs="仿宋"/>
          <w:sz w:val="32"/>
          <w:szCs w:val="32"/>
          <w:lang w:val="en-US" w:eastAsia="zh-CN"/>
        </w:rPr>
        <w:t xml:space="preserve"> 任何单位和个人对县级储备粮经营管理中的违规违法行为，均有权向县发展和改革局（县粮食和物资储备局）等有关部门举报。县发展和改革局（县粮食和物资储备局）等有关部门接到举报后，应当及时查处；举报事项的处理属于其他部门职责范围的，应当及时移送其他部门处理。</w:t>
      </w:r>
    </w:p>
    <w:p w14:paraId="69960D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6E16D2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计划</w:t>
      </w:r>
    </w:p>
    <w:p w14:paraId="32A18C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1B2B9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第十三条</w:t>
      </w:r>
      <w:r>
        <w:rPr>
          <w:rFonts w:hint="eastAsia" w:ascii="仿宋" w:hAnsi="仿宋" w:eastAsia="仿宋" w:cs="仿宋"/>
          <w:sz w:val="32"/>
          <w:szCs w:val="32"/>
        </w:rPr>
        <w:t xml:space="preserve">  由县发展和改革局（县粮食和物资储备局）会同县财政局根据上一级人民政府下达的地方政府储备粮计划制定本级储备粮计划，报县人民政府批准。县人民政府在完成上一级人民政府下达的储备粮计划基础上，可以根据本行政区域粮食供需状况和财政承受能力，增加县级储备粮数量，并向上一级人民政府粮食主管部门报告。</w:t>
      </w:r>
    </w:p>
    <w:p w14:paraId="477DB9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第十四条</w:t>
      </w:r>
      <w:r>
        <w:rPr>
          <w:rFonts w:hint="eastAsia" w:ascii="仿宋" w:hAnsi="仿宋" w:eastAsia="仿宋" w:cs="仿宋"/>
          <w:sz w:val="32"/>
          <w:szCs w:val="32"/>
        </w:rPr>
        <w:t xml:space="preserve">  承储企业根据县级储备粮的收购、销售计划，具体组织实施县级储备粮的收购、销售。</w:t>
      </w:r>
    </w:p>
    <w:p w14:paraId="1C51E2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第十五条</w:t>
      </w:r>
      <w:r>
        <w:rPr>
          <w:rFonts w:hint="eastAsia" w:ascii="仿宋" w:hAnsi="仿宋" w:eastAsia="仿宋" w:cs="仿宋"/>
          <w:sz w:val="32"/>
          <w:szCs w:val="32"/>
        </w:rPr>
        <w:t xml:space="preserve">  承储企业应当将县级储备粮收购、销售、年度轮换计划的具体执行情况，及时报县发展和改革局（县粮食和物资储备局）、县财政局备案，并抄送中国农业发展银行盈江县支行。</w:t>
      </w:r>
    </w:p>
    <w:p w14:paraId="10FB32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657F9C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储存管理</w:t>
      </w:r>
    </w:p>
    <w:p w14:paraId="55ECA4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4CD03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第十六条</w:t>
      </w:r>
      <w:r>
        <w:rPr>
          <w:rFonts w:hint="eastAsia" w:ascii="仿宋" w:hAnsi="仿宋" w:eastAsia="仿宋" w:cs="仿宋"/>
          <w:sz w:val="32"/>
          <w:szCs w:val="32"/>
        </w:rPr>
        <w:t xml:space="preserve">  县发展和改革局（县粮食和物资储备局）会同县财政局和中国农业发展银行盈江县支行按照公开、公平、公正、择优的原则确定承储企业。</w:t>
      </w:r>
    </w:p>
    <w:p w14:paraId="12FEEF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第十七条</w:t>
      </w:r>
      <w:r>
        <w:rPr>
          <w:rFonts w:hint="eastAsia" w:ascii="仿宋" w:hAnsi="仿宋" w:eastAsia="仿宋" w:cs="仿宋"/>
          <w:sz w:val="32"/>
          <w:szCs w:val="32"/>
        </w:rPr>
        <w:t xml:space="preserve">  承储企业应当健全县级储备粮安全管理制度，配备安全防护设施，定期或不定期进行安全检查和隐患整治。发现承储的县级储备粮数量、质量和储存安全存在问题的，应当立即处理并报告县发展和改革局（县粮食和物资储备局）。</w:t>
      </w:r>
    </w:p>
    <w:p w14:paraId="4F981D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承储企业在县级储备粮承储期间发生生产安全事故的，应当立即处理并报告县发展和改革局（县粮食和物资储备局）、县应急管理局。</w:t>
      </w:r>
    </w:p>
    <w:p w14:paraId="30317B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第十八条</w:t>
      </w:r>
      <w:r>
        <w:rPr>
          <w:rFonts w:hint="eastAsia" w:ascii="仿宋" w:hAnsi="仿宋" w:eastAsia="仿宋" w:cs="仿宋"/>
          <w:sz w:val="32"/>
          <w:szCs w:val="32"/>
        </w:rPr>
        <w:t xml:space="preserve">  承储企业不得有下列行为：</w:t>
      </w:r>
    </w:p>
    <w:p w14:paraId="116676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（一）擅自动用县级储备粮；</w:t>
      </w:r>
    </w:p>
    <w:p w14:paraId="26076D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（二）虚报、瞒报县级储备粮数量；</w:t>
      </w:r>
    </w:p>
    <w:p w14:paraId="603DFE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（三）在县级储备粮中掺杂掺假、以次充好；</w:t>
      </w:r>
    </w:p>
    <w:p w14:paraId="5BA383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（四）擅自串换品种、变更储存地点、仓号、油罐；</w:t>
      </w:r>
    </w:p>
    <w:p w14:paraId="0D0FBA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（五）以县级储备粮及使用政府性资金建设的地方政府储备粮仓储等设施办理抵质押贷款、提供担保或者清偿债务，进行期货实物交割；</w:t>
      </w:r>
    </w:p>
    <w:p w14:paraId="4C92D4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（六）挤占、挪用、克扣财政补贴、信贷资金；</w:t>
      </w:r>
    </w:p>
    <w:p w14:paraId="379AE1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（七）延误轮换或者管理不善造成县级储备粮霉坏变质；</w:t>
      </w:r>
    </w:p>
    <w:p w14:paraId="397121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（八）以低价购进高价入账、高价售出低价入账，以旧粮顶替新粮、虚报损耗、虚列费用、虚增入库成本等手段套取差价，骗取县级储备粮的贷款和财政补贴；</w:t>
      </w:r>
    </w:p>
    <w:p w14:paraId="58EF9F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（九）法律法规规定的其他行为。</w:t>
      </w:r>
    </w:p>
    <w:p w14:paraId="47774F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第十九条</w:t>
      </w:r>
      <w:r>
        <w:rPr>
          <w:rFonts w:hint="eastAsia" w:ascii="仿宋" w:hAnsi="仿宋" w:eastAsia="仿宋" w:cs="仿宋"/>
          <w:sz w:val="32"/>
          <w:szCs w:val="32"/>
        </w:rPr>
        <w:t xml:space="preserve">  承储企业应当加强县级储备粮仓储等设施、质量检验保障能力建设和维护，推进仓储科技创新和使用，提高县级储备粮安全保障能力。</w:t>
      </w:r>
    </w:p>
    <w:p w14:paraId="03897E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使用政府性资金建设的地方政府储备粮仓储等设施，任何单位和个人不得擅自处置或者变更用途。</w:t>
      </w:r>
    </w:p>
    <w:p w14:paraId="0EB3C3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第二十条</w:t>
      </w:r>
      <w:r>
        <w:rPr>
          <w:rFonts w:hint="eastAsia" w:ascii="仿宋" w:hAnsi="仿宋" w:eastAsia="仿宋" w:cs="仿宋"/>
          <w:sz w:val="32"/>
          <w:szCs w:val="32"/>
        </w:rPr>
        <w:t xml:space="preserve">  县级储备粮入库质量验收检验，由县发展和改革局（县粮食和物资储备局）委托具有资质的质检机构对质量指标、品质指标和食品安全指标进行检验，检验结果合格方可作为县级储备粮。</w:t>
      </w:r>
    </w:p>
    <w:p w14:paraId="63AC76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储备粮储存期间质量检验，在县发展和改革局（县粮食和物资储备局）监督下，由承储企业委托具有资质的质检机构对质量指标和储存品质指标进行检验，检验结果报县发展和改革局（县粮食和物资储备局）。</w:t>
      </w:r>
    </w:p>
    <w:p w14:paraId="122558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县级储备粮出库时应当出具质量检验报告，在县发展和改革局（县粮食和物资储备局）监督下，由承储企业委托具有资质的质检机构对质量指标和食品安全指标进行检验，检验结果作为出库质量依据。</w:t>
      </w:r>
    </w:p>
    <w:p w14:paraId="57E90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承储企业应当建立县级储备粮质量安全档案，如实记录粮食质量安全情况。质量安全档案保存期不少于6年。</w:t>
      </w:r>
    </w:p>
    <w:p w14:paraId="778551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0B4D7B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轮换管理</w:t>
      </w:r>
    </w:p>
    <w:p w14:paraId="23020B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87484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县发展和改革局（县粮食和物资储备局）会同县财政局、中国农业发展银行盈江县支行制定并下达县级储备粮年度轮换计划，承储企业负责实施。</w:t>
      </w:r>
    </w:p>
    <w:p w14:paraId="4A8D70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县级储备粮轮换的具体管理办法，由县发展和改革局（县粮食和物资储备局）会同县财政局、中国农业发展银行盈江县支行另行制定。</w:t>
      </w:r>
    </w:p>
    <w:p w14:paraId="1BF6A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县级储备粮实行均衡轮换，以储存品质指标为依据，以储存年限为参考，不宜储存的，必须及时轮换。县级储备粮（稻谷）轮换量原则上按照储备规模总量的二分之一，要按照先入先出、确保储存安全的原则轮换，按货位以整仓轮换，根据粮食市场形势变化或调控需要，县发展和改革局（县粮食和物资储备局）会同县财政局、中国农业发展银行盈江县支行等部门可对县级储备粮轮换计划进行调整。成品粮和食用植物油在规定的轮换周期内由承储企业根据市场行情实行动态轮换，报县发展和改革局（县粮食和物资储备局）备案。</w:t>
      </w:r>
    </w:p>
    <w:p w14:paraId="6CDC17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县级储备粮轮换架空期为4个月，在轮换架空期内，正常拨付县级储备粮的贷款利息、管理费用和轮换补贴。确需延长轮换架空期的，经县发展和改革局（县粮食和物资储备局）、县财政局、中国农业发展银行盈江县支行批准最多可延长2个月，延长期内承储企业不享受相应的管理费用补贴。</w:t>
      </w:r>
    </w:p>
    <w:p w14:paraId="581B74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重大自然灾害、突发事件等不可抗力因素，在规定时间内不能完成轮入的，承储企业原则上应在不可抗力因素发生后5个工作日内向县发展和改革局（县粮食和物资储备局）、县财政局、中国农业发展银行盈江县支行提出延长轮换架空期的申请，经批准同意后方可延长。</w:t>
      </w:r>
    </w:p>
    <w:p w14:paraId="07DE50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县级储备粮采购、轮换和销售原则上通过规范的粮食交易中心公开进行，也可以通过国家规定的其他方式进行。可以采取直接收购、邀标竞价销售等方式进行。</w:t>
      </w:r>
    </w:p>
    <w:p w14:paraId="1D78ED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县发展和改革局（县粮食和物资储备局）、县财政局等有关部门根据当年市场价格确定轮换出入库粮食的价格、时机，轮换出入库粮食数量、品种，粮食入库质量必须符合国家有关法律法规要求和储备粮入库验收指标有关规定，粮食出库必须建立质量安全检验制度。承储企业必须按要求完成轮换任务，绝不允许出现粮食劣变。</w:t>
      </w:r>
    </w:p>
    <w:p w14:paraId="0A0032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承储企业要按照国家粮食流通统计调查制度等有关要求，设立轮换台账，及时准确，真实完整反映轮出轮入数量、成本，盈亏情况及轮换架空期等。</w:t>
      </w:r>
    </w:p>
    <w:p w14:paraId="4F526F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E6606C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储备动用</w:t>
      </w:r>
    </w:p>
    <w:p w14:paraId="08C618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022C1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县发展和改革局（县粮食和物资储备局）应当完善县级储备粮的动用预警机制，制定有关工作方案，加强对需要动用县级储备粮情况的监测，适时提出动用县级储备粮的建议。</w:t>
      </w:r>
    </w:p>
    <w:p w14:paraId="172C58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出现下列情况之一的，县人民政府可以依法批准动用县级储备粮：</w:t>
      </w:r>
    </w:p>
    <w:p w14:paraId="4B436E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（一）辖区内粮食明显供不应求或者市场价格异常波动；</w:t>
      </w:r>
    </w:p>
    <w:p w14:paraId="54D786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（二）发生重大自然灾害或者其他突发事件需要动用县级储备粮；</w:t>
      </w:r>
    </w:p>
    <w:p w14:paraId="437ADF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（三）需要动用县级储备粮的其他情形。</w:t>
      </w:r>
    </w:p>
    <w:p w14:paraId="3F285A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动用县级储备粮，由县发展和改革局（县粮食和物资储备局）会同县财政局、中国农业发展银行盈江县支行提出动用方案，报县级人民政府批准。动用方案应当包括动用县级储备粮的品种、数量、质量、价格、使用安排、运输保障等内容。动用后原则上12个月内完成等量补库。</w:t>
      </w:r>
    </w:p>
    <w:p w14:paraId="16314F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县发展和改革局（县粮食和物资储备局）会同县财政局、中国农业发展银行盈江县支行根据县人民政府指令下达动用计划，承储企业按要求组织实施。紧急情况下，县人民政府可直接决定动用县级储备粮并下达动用命令。</w:t>
      </w:r>
    </w:p>
    <w:p w14:paraId="22498F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各有关部门应对县级储备粮动用给予支持、配合。</w:t>
      </w:r>
    </w:p>
    <w:p w14:paraId="7A6B6C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第三十一条</w:t>
      </w:r>
      <w:r>
        <w:rPr>
          <w:rFonts w:hint="eastAsia" w:ascii="仿宋" w:hAnsi="仿宋" w:eastAsia="仿宋" w:cs="仿宋"/>
          <w:sz w:val="32"/>
          <w:szCs w:val="32"/>
        </w:rPr>
        <w:t xml:space="preserve">  任何单位和个人不得拒绝执行或者擅自改变县级储备粮动用方案。</w:t>
      </w:r>
    </w:p>
    <w:p w14:paraId="779579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878BC5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资金管理</w:t>
      </w:r>
    </w:p>
    <w:p w14:paraId="1A9E39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3A181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县级储备粮贷款利息、费用补贴、价差亏损补贴等财政补贴资金在粮食风险基金中列支，从粮食风险基金专户直接拨付承储企业，风险基金不足部分由县级财政负担并列入预算。粮食风险基金专户由财政部门负责管理。超过轮换架空期的粮食，延长期内不享受管理费用补贴。</w:t>
      </w:r>
    </w:p>
    <w:p w14:paraId="64D16D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县级储备粮贷款利息据实补贴；保管费、轮换费等补贴原则上实行定额包干，轮换价差亏损结合粮食市场行情实行据实补贴，具体补贴政策由县财政局会同县发展和改革局（县粮食和物资储备局）、中国农业发展银行盈江县支行按照“管理科学、标准合理、适时调整、执行高效、激励约束、注重绩效”的原则制定。</w:t>
      </w:r>
    </w:p>
    <w:p w14:paraId="4B759B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经县人民政府批准动用或销售县级储备粮发生的价差收益，全部缴入县级粮食风险基金专户，用于补充粮食风险基金；发生的价差亏损，由县级财政负担，从粮食风险基金或预算中列支。</w:t>
      </w:r>
    </w:p>
    <w:p w14:paraId="40CE15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县级储备粮定额内损耗的处理参照国家有关标准执行，超定额损耗或因企业经营管理不善造成的储备粮损失，由承储企业负责承担。</w:t>
      </w:r>
    </w:p>
    <w:p w14:paraId="5CFF95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储企业应向保险公司对县级储备粮安全进行投保，保费由承储企业从财政补贴的保管费中解决。发生因不可抗力造成的损失，由承储企业向保险公司索赔，差额部分经地方批准后由县级财政承担，从县级粮食风险基金中列支。</w:t>
      </w:r>
    </w:p>
    <w:p w14:paraId="275567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县级储备粮收储资金由承储企业向中国农业发展银行盈江县支行申请贷款解决，实行统贷统还，按照封闭运行、专款专用、购贷销还、库贷挂钩的方式运作。县级储备粮的入库成本价格由县财政局会同县发展和改革局（县粮食和物资储备局）、中国农业发展银行盈江县支行进行核定。入库成本一经核定，任何单位和个人不得擅自变更。</w:t>
      </w:r>
    </w:p>
    <w:p w14:paraId="52E370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承储企业应当在中国农业发展银行盈江县支行开立基本账户，并接受信贷监管。</w:t>
      </w:r>
    </w:p>
    <w:p w14:paraId="4643F0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rPr>
        <w:t xml:space="preserve">  承储企业必须加强财务管理，建立完善有关台账，正确反映补贴收入。企业收到补贴后，应当在财务报表中全额反映并及时归还中国农业发展银行盈江县支行贷款利息。</w:t>
      </w:r>
    </w:p>
    <w:p w14:paraId="27069F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xml:space="preserve">  履行县级储备粮监管职能发生的质量检验、轮换管理情况核查以及其他购买县级储备粮管理服务等所需必要经费纳入县级财政年度预算予以保障。</w:t>
      </w:r>
    </w:p>
    <w:p w14:paraId="0017D9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DE61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2FF3F2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14:paraId="4D20D4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9ACA1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县发展和改革局（县粮食和物资储备局）、县财政局在依法实施县级储备粮监督检查活动中，可以按照各自职责行使以下职权：</w:t>
      </w:r>
    </w:p>
    <w:p w14:paraId="2F91D1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（一）进入承储企业检查县级储备粮的数量、质量和储存安全；</w:t>
      </w:r>
    </w:p>
    <w:p w14:paraId="118A9C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（二）向有关单位和人员了解县级储备粮收购、轮换、销售、动用以及有关财务执行等情况；</w:t>
      </w:r>
    </w:p>
    <w:p w14:paraId="65B8FC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（三）调阅、复制与县级储备粮经营管理活动有关的账簿、原始凭证、电子数据等有关资料；</w:t>
      </w:r>
    </w:p>
    <w:p w14:paraId="38FF7B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（四）对承储企业的法定代表人、负责人或者其他工作人员进行问询；</w:t>
      </w:r>
    </w:p>
    <w:p w14:paraId="2F9C4E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（五）法律法规规定的其他职权。</w:t>
      </w:r>
    </w:p>
    <w:p w14:paraId="4AAB1B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xml:space="preserve">  承储企业应当配合县人民政府有关部门依法开展的监督检查活动。任何单位和个人不得拒绝、阻挠和干涉。</w:t>
      </w:r>
    </w:p>
    <w:p w14:paraId="6AB7A6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承储企业应当配合中国农业发展银行盈江县支行依法开展信贷监管工作，及时提供有关资料。</w:t>
      </w:r>
    </w:p>
    <w:p w14:paraId="24ACE1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仿宋" w:hAnsi="仿宋" w:eastAsia="仿宋" w:cs="仿宋"/>
          <w:sz w:val="32"/>
          <w:szCs w:val="32"/>
        </w:rPr>
        <w:t xml:space="preserve">  县发展和改革局（县粮食和物资储备局）应当运用好“云南省智能粮库业务平台”，将县级储备粮的品种、数量、质量、储存安全以及轮换计划执行情况等数据纳入平台，实现信息互联互通、数据归集共享、动态远程监管、粮情在线监控，并与有关部门共享有关监管信息。</w:t>
      </w:r>
    </w:p>
    <w:p w14:paraId="324FAB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仿宋" w:hAnsi="仿宋" w:eastAsia="仿宋" w:cs="仿宋"/>
          <w:sz w:val="32"/>
          <w:szCs w:val="32"/>
        </w:rPr>
        <w:t xml:space="preserve">  承储企业应当依法建立健全内部控制和合规管理制度，有效防范和控制县级储备粮运营风险。</w:t>
      </w:r>
    </w:p>
    <w:p w14:paraId="21A2E8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承储企业应当落实政府信息管理规范要求，保障县级储备粮管理信息系统、网络及硬件安全运转，并按规定向县发展和改革局（县粮食和物资储备局）提供有关信息数据。</w:t>
      </w:r>
    </w:p>
    <w:p w14:paraId="2A3DAEA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p>
    <w:p w14:paraId="50B9354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14:paraId="02E206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1527B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仿宋" w:hAnsi="仿宋" w:eastAsia="仿宋" w:cs="仿宋"/>
          <w:sz w:val="32"/>
          <w:szCs w:val="32"/>
        </w:rPr>
        <w:t xml:space="preserve">  违反本办法规定的行为，法律、法规已有法律责任规定的，从其规定。</w:t>
      </w:r>
    </w:p>
    <w:p w14:paraId="125A91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仿宋" w:hAnsi="仿宋" w:eastAsia="仿宋" w:cs="仿宋"/>
          <w:sz w:val="32"/>
          <w:szCs w:val="32"/>
        </w:rPr>
        <w:t xml:space="preserve">  县人民政府及其有关部门工作人员、中国农业发展银行盈江县支行有关公职人员不履行或者不正确履行本办法规定职责和要求的，依法予以处分；涉嫌犯罪的，移送司法机关依法追究刑事责任。</w:t>
      </w:r>
    </w:p>
    <w:p w14:paraId="497C9E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仿宋" w:hAnsi="仿宋" w:eastAsia="仿宋" w:cs="仿宋"/>
          <w:sz w:val="32"/>
          <w:szCs w:val="32"/>
        </w:rPr>
        <w:t xml:space="preserve">  承储企业违反本办法规定，造成县级储备粮损失的，由县发展和改革局（县粮食和物资储备局）责令其改正，并依法承担赔偿责任，对有过错的直接责任人员可以依法追偿；涉嫌犯罪的，依法追究刑事责任。</w:t>
      </w:r>
    </w:p>
    <w:p w14:paraId="6DCAE9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66415F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6DCBF8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CB4C5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第四十六条</w:t>
      </w:r>
      <w:r>
        <w:rPr>
          <w:rFonts w:hint="eastAsia" w:ascii="仿宋" w:hAnsi="仿宋" w:eastAsia="仿宋" w:cs="仿宋"/>
          <w:sz w:val="32"/>
          <w:szCs w:val="32"/>
        </w:rPr>
        <w:t xml:space="preserve">  本办法于2022年6月24日发布，自2022年7月24日执行</w:t>
      </w:r>
      <w:bookmarkStart w:id="0" w:name="_GoBack"/>
      <w:bookmarkEnd w:id="0"/>
      <w:r>
        <w:rPr>
          <w:rFonts w:hint="eastAsia" w:ascii="仿宋" w:hAnsi="仿宋" w:eastAsia="仿宋" w:cs="仿宋"/>
          <w:sz w:val="32"/>
          <w:szCs w:val="32"/>
        </w:rPr>
        <w:t>，有效期为5年（2022年7月24日开始，2027年7月23日终止）。由县发展和改革局（县粮食和物资储备局）、县财政局、中国农业发展银行盈江县支行负责解释。《梁河县县级储备粮管理办法》（梁政办发〔2015〕86号）同时废止</w:t>
      </w:r>
      <w:r>
        <w:rPr>
          <w:rFonts w:hint="eastAsia" w:ascii="仿宋" w:hAnsi="仿宋" w:eastAsia="仿宋" w:cs="仿宋"/>
          <w:sz w:val="32"/>
          <w:szCs w:val="32"/>
          <w:lang w:eastAsia="zh-CN"/>
        </w:rPr>
        <w:t>。</w:t>
      </w:r>
    </w:p>
    <w:sectPr>
      <w:headerReference r:id="rId3" w:type="default"/>
      <w:footerReference r:id="rId5" w:type="default"/>
      <w:headerReference r:id="rId4" w:type="even"/>
      <w:footerReference r:id="rId6" w:type="even"/>
      <w:pgSz w:w="11906" w:h="16838" w:orient="landscape"/>
      <w:pgMar w:top="2098" w:right="1361" w:bottom="1985" w:left="1418" w:header="851" w:footer="1134"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Liberation Sans">
    <w:altName w:val="Segoe Print"/>
    <w:panose1 w:val="020B0604020202020204"/>
    <w:charset w:val="00"/>
    <w:family w:val="auto"/>
    <w:pitch w:val="default"/>
    <w:sig w:usb0="00000000" w:usb1="00000000" w:usb2="00000000" w:usb3="00000000" w:csb0="00000000" w:csb1="00000000"/>
  </w:font>
  <w:font w:name="Noto Sans CJK SC Regular">
    <w:altName w:val="Segoe Print"/>
    <w:panose1 w:val="020B0604020202020204"/>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B7D9">
    <w:pPr>
      <w:pStyle w:val="190"/>
      <w:jc w:val="right"/>
      <w:rPr>
        <w:rFonts w:hint="eastAsia" w:ascii="宋体" w:hAnsi="宋体" w:cs="宋体"/>
        <w:b/>
        <w:bCs/>
        <w:color w:val="005192"/>
        <w:sz w:val="28"/>
        <w:szCs w:val="44"/>
        <w:lang w:val="en-US" w:eastAsia="zh-CN"/>
      </w:rPr>
    </w:pPr>
  </w:p>
  <w:p w14:paraId="04E16C0F">
    <w:pPr>
      <w:pStyle w:val="190"/>
      <w:jc w:val="right"/>
      <w:rPr>
        <w:rStyle w:val="195"/>
        <w:rFonts w:hint="eastAsia" w:ascii="宋体" w:hAnsi="宋体"/>
        <w:sz w:val="28"/>
        <w:szCs w:val="28"/>
      </w:rPr>
    </w:pPr>
    <w:r>
      <w:rPr>
        <w:rFonts w:hint="eastAsia" w:ascii="宋体" w:hAnsi="宋体" w:cs="宋体"/>
        <w:b/>
        <w:bCs/>
        <w:color w:val="005192"/>
        <w:sz w:val="28"/>
        <w:szCs w:val="44"/>
        <w:lang w:val="en-US" w:eastAsia="zh-CN"/>
      </w:rPr>
      <w:t>梁河县</w:t>
    </w:r>
    <w:r>
      <w:rPr>
        <w:rFonts w:hint="eastAsia" w:ascii="宋体" w:hAnsi="宋体" w:eastAsia="宋体" w:cs="宋体"/>
        <w:b/>
        <w:bCs/>
        <w:color w:val="005192"/>
        <w:sz w:val="28"/>
        <w:szCs w:val="44"/>
        <w:lang w:val="en-US" w:eastAsia="zh-CN"/>
      </w:rPr>
      <w:t xml:space="preserve">人民政府发布 </w:t>
    </w:r>
    <w:r>
      <w:rPr>
        <w:sz w:val="28"/>
      </w:rPr>
      <mc:AlternateContent>
        <mc:Choice Requires="wps">
          <w:drawing>
            <wp:anchor distT="0" distB="0" distL="114300" distR="114300" simplePos="0" relativeHeight="251659264" behindDoc="0" locked="0" layoutInCell="1" allowOverlap="1">
              <wp:simplePos x="0" y="0"/>
              <wp:positionH relativeFrom="margin">
                <wp:posOffset>4814570</wp:posOffset>
              </wp:positionH>
              <wp:positionV relativeFrom="paragraph">
                <wp:posOffset>66675</wp:posOffset>
              </wp:positionV>
              <wp:extent cx="1828800" cy="1828800"/>
              <wp:effectExtent l="0" t="0" r="0" b="0"/>
              <wp:wrapNone/>
              <wp:docPr id="2" name="_x0000_s307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56352AE">
                          <w:pPr>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523E06A7"/>
                      </w:txbxContent>
                    </wps:txbx>
                    <wps:bodyPr wrap="none" lIns="0" tIns="0" rIns="0" bIns="0" upright="1">
                      <a:spAutoFit/>
                    </wps:bodyPr>
                  </wps:wsp>
                </a:graphicData>
              </a:graphic>
            </wp:anchor>
          </w:drawing>
        </mc:Choice>
        <mc:Fallback>
          <w:pict>
            <v:shape id="_x0000_s3075" o:spid="_x0000_s1026" o:spt="202" type="#_x0000_t202" style="position:absolute;left:0pt;margin-left:379.1pt;margin-top:5.25pt;height:144pt;width:144pt;mso-position-horizontal-relative:margin;mso-wrap-style:none;z-index:251659264;mso-width-relative:page;mso-height-relative:page;" filled="f" stroked="f" coordsize="21600,21600" o:gfxdata="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MEAM3WAAAACwEAAA8AAAAAAAAAAQAgAAAAIgAAAGRycy9kb3du&#10;cmV2LnhtbFBLAQIUABQAAAAIAIdO4kAIwAhRyAEAAKgDAAAOAAAAAAAAAAEAIAAAACUBAABkcnMv&#10;ZTJvRG9jLnhtbFBLBQYAAAAABgAGAFkBAABfBQAAAAA=&#10;">
              <v:fill on="f" focussize="0,0"/>
              <v:stroke on="f"/>
              <v:imagedata o:title=""/>
              <o:lock v:ext="edit" aspectratio="f"/>
              <v:textbox inset="0mm,0mm,0mm,0mm" style="mso-fit-shape-to-text:t;">
                <w:txbxContent>
                  <w:p w14:paraId="256352AE">
                    <w:pPr>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523E06A7"/>
                </w:txbxContent>
              </v:textbox>
            </v:shape>
          </w:pict>
        </mc:Fallback>
      </mc:AlternateContent>
    </w:r>
  </w:p>
  <w:p w14:paraId="2A7B6693">
    <w:pPr>
      <w:pStyle w:val="190"/>
      <w:ind w:right="360"/>
      <w:rPr>
        <w:rStyle w:val="195"/>
        <w:szCs w:val="2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-294640</wp:posOffset>
              </wp:positionV>
              <wp:extent cx="5616575" cy="1905"/>
              <wp:effectExtent l="0" t="0" r="0" b="0"/>
              <wp:wrapNone/>
              <wp:docPr id="3" name="_x0000_s3073"/>
              <wp:cNvGraphicFramePr/>
              <a:graphic xmlns:a="http://schemas.openxmlformats.org/drawingml/2006/main">
                <a:graphicData uri="http://schemas.microsoft.com/office/word/2010/wordprocessingShape">
                  <wps:wsp>
                    <wps:cNvCnPr/>
                    <wps:spPr bwMode="auto">
                      <a:xfrm>
                        <a:off x="0" y="0"/>
                        <a:ext cx="5616575" cy="1905"/>
                      </a:xfrm>
                      <a:prstGeom prst="line">
                        <a:avLst/>
                      </a:prstGeom>
                      <a:noFill/>
                      <a:ln w="22225">
                        <a:solidFill>
                          <a:srgbClr val="005192"/>
                        </a:solidFill>
                      </a:ln>
                    </wps:spPr>
                    <wps:bodyPr rot="0">
                      <a:noAutofit/>
                    </wps:bodyPr>
                  </wps:wsp>
                </a:graphicData>
              </a:graphic>
            </wp:anchor>
          </w:drawing>
        </mc:Choice>
        <mc:Fallback>
          <w:pict>
            <v:line id="_x0000_s3073" o:spid="_x0000_s1026" o:spt="20" style="position:absolute;left:0pt;margin-left:8.45pt;margin-top:-23.2pt;height:0.15pt;width:442.25pt;z-index:251660288;mso-width-relative:page;mso-height-relative:page;" filled="f" stroked="t" coordsize="21600,21600" o:gfxdata="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Z2MBtQAAAAKAQAADwAAAAAAAAABACAAAAAiAAAAZHJzL2Rvd25yZXYu&#10;eG1sUEsBAhQAFAAAAAgAh07iQBYDh2fGAQAAjwMAAA4AAAAAAAAAAQAgAAAAIwEAAGRycy9lMm9E&#10;b2MueG1sUEsFBgAAAAAGAAYAWQEAAFsFAAAAAA==&#10;">
              <v:fill on="f" focussize="0,0"/>
              <v:stroke weight="1.75pt" color="#005192" joinstyle="round"/>
              <v:imagedata o:title=""/>
              <o:lock v:ext="edit" aspectratio="f"/>
            </v:line>
          </w:pict>
        </mc:Fallback>
      </mc:AlternateContent>
    </w:r>
  </w:p>
  <w:p w14:paraId="42E619B6">
    <w:pPr>
      <w:pStyle w:val="19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8245C">
    <w:pPr>
      <w:pStyle w:val="19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200025</wp:posOffset>
              </wp:positionH>
              <wp:positionV relativeFrom="paragraph">
                <wp:posOffset>-304165</wp:posOffset>
              </wp:positionV>
              <wp:extent cx="1828800" cy="1828800"/>
              <wp:effectExtent l="0" t="0" r="0" b="0"/>
              <wp:wrapNone/>
              <wp:docPr id="4" name="_x0000_s307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22D659">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0C2D087"/>
                      </w:txbxContent>
                    </wps:txbx>
                    <wps:bodyPr wrap="none" lIns="0" tIns="0" rIns="0" bIns="0" upright="1">
                      <a:spAutoFit/>
                    </wps:bodyPr>
                  </wps:wsp>
                </a:graphicData>
              </a:graphic>
            </wp:anchor>
          </w:drawing>
        </mc:Choice>
        <mc:Fallback>
          <w:pict>
            <v:shape id="_x0000_s3074" o:spid="_x0000_s1026" o:spt="202" type="#_x0000_t202" style="position:absolute;left:0pt;margin-left:15.75pt;margin-top:-23.95pt;height:144pt;width:144pt;mso-position-horizontal-relative:margin;mso-wrap-style:none;z-index:251660288;mso-width-relative:page;mso-height-relative:page;" filled="f" stroked="f" coordsize="21600,21600" o:gfxdata="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fA4F1wAAAAoBAAAPAAAAAAAAAAEAIAAAACIAAABkcnMvZG93&#10;bnJldi54bWxQSwECFAAUAAAACACHTuJAaSsQAMgBAACoAwAADgAAAAAAAAABACAAAAAmAQAAZHJz&#10;L2Uyb0RvYy54bWxQSwUGAAAAAAYABgBZAQAAYAUAAAAA&#10;">
              <v:fill on="f" focussize="0,0"/>
              <v:stroke on="f"/>
              <v:imagedata o:title=""/>
              <o:lock v:ext="edit" aspectratio="f"/>
              <v:textbox inset="0mm,0mm,0mm,0mm" style="mso-fit-shape-to-text:t;">
                <w:txbxContent>
                  <w:p w14:paraId="1822D659">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0C2D08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6CFD">
    <w:pPr>
      <w:pStyle w:val="191"/>
      <w:keepNext w:val="0"/>
      <w:keepLines w:val="0"/>
      <w:pageBreakBefore w:val="0"/>
      <w:widowControl w:val="0"/>
      <w:jc w:val="left"/>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type="#_x0000_t75" style="height:24.3pt;width:24.3pt;" filled="f" o:preferrelative="t" stroked="f" coordsize="21600,21600">
          <v:path/>
          <v:fill on="f" focussize="0,0"/>
          <v:stroke on="f"/>
          <v:imagedata r:id="rId1" o:title=""/>
          <o:lock v:ext="edit" aspectratio="f"/>
          <w10:wrap type="none"/>
          <w10:anchorlock/>
        </v:shape>
      </w:pict>
    </w:r>
    <w:r>
      <w:rPr>
        <w:rFonts w:hint="eastAsia" w:ascii="宋体" w:hAnsi="宋体" w:cs="宋体"/>
        <w:b/>
        <w:bCs/>
        <w:color w:val="005192"/>
        <w:sz w:val="32"/>
        <w:lang w:val="en-US" w:eastAsia="zh-CN"/>
      </w:rPr>
      <w:t>梁河县</w:t>
    </w:r>
    <w:r>
      <w:rPr>
        <w:rFonts w:hint="eastAsia" w:ascii="宋体" w:hAnsi="宋体" w:eastAsia="宋体" w:cs="宋体"/>
        <w:b/>
        <w:bCs/>
        <w:color w:val="005192"/>
        <w:sz w:val="32"/>
        <w:lang w:eastAsia="zh-CN"/>
      </w:rPr>
      <w:t>人民政府行政规范性文件</w:t>
    </w:r>
  </w:p>
  <w:p w14:paraId="3887662A">
    <w:pPr>
      <w:pStyle w:val="19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6417">
    <w:pPr>
      <w:pStyle w:val="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OGJmYzgzMTg2YWFmNTZhNTI3MjljMzI3NmVhNjMifQ=="/>
  </w:docVars>
  <w:rsids>
    <w:rsidRoot w:val="00000000"/>
    <w:rsid w:val="0FE06CC3"/>
    <w:rsid w:val="1CC12691"/>
    <w:rsid w:val="51165E00"/>
    <w:rsid w:val="5C554B00"/>
    <w:rsid w:val="6C027255"/>
    <w:rsid w:val="717B7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6"/>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uiPriority w:val="0"/>
    <w:pPr>
      <w:spacing w:before="0" w:beforeAutospacing="1" w:after="0" w:afterAutospacing="1"/>
      <w:ind w:left="0" w:right="0"/>
      <w:jc w:val="left"/>
    </w:pPr>
    <w:rPr>
      <w:kern w:val="0"/>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rPr>
  </w:style>
  <w:style w:type="character" w:styleId="35">
    <w:name w:val="footnote reference"/>
    <w:unhideWhenUsed/>
    <w:qFormat/>
    <w:uiPriority w:val="99"/>
    <w:rPr>
      <w:vertAlign w:val="superscript"/>
    </w:rPr>
  </w:style>
  <w:style w:type="character" w:customStyle="1" w:styleId="36">
    <w:name w:val="Heading 1 Char"/>
    <w:link w:val="3"/>
    <w:qFormat/>
    <w:uiPriority w:val="9"/>
    <w:rPr>
      <w:rFonts w:ascii="等线" w:hAnsi="等线" w:eastAsia="等线" w:cs="等线"/>
      <w:sz w:val="40"/>
      <w:szCs w:val="40"/>
    </w:rPr>
  </w:style>
  <w:style w:type="character" w:customStyle="1" w:styleId="37">
    <w:name w:val="Heading 2 Char"/>
    <w:link w:val="4"/>
    <w:qFormat/>
    <w:uiPriority w:val="9"/>
    <w:rPr>
      <w:rFonts w:ascii="等线" w:hAnsi="等线" w:eastAsia="等线" w:cs="等线"/>
      <w:sz w:val="34"/>
    </w:rPr>
  </w:style>
  <w:style w:type="character" w:customStyle="1" w:styleId="38">
    <w:name w:val="Heading 3 Char"/>
    <w:link w:val="5"/>
    <w:qFormat/>
    <w:uiPriority w:val="9"/>
    <w:rPr>
      <w:rFonts w:ascii="等线" w:hAnsi="等线" w:eastAsia="等线" w:cs="等线"/>
      <w:sz w:val="30"/>
      <w:szCs w:val="30"/>
    </w:rPr>
  </w:style>
  <w:style w:type="character" w:customStyle="1" w:styleId="39">
    <w:name w:val="Heading 4 Char"/>
    <w:link w:val="6"/>
    <w:qFormat/>
    <w:uiPriority w:val="9"/>
    <w:rPr>
      <w:rFonts w:ascii="等线" w:hAnsi="等线" w:eastAsia="等线" w:cs="等线"/>
      <w:b/>
      <w:bCs/>
      <w:sz w:val="26"/>
      <w:szCs w:val="26"/>
    </w:rPr>
  </w:style>
  <w:style w:type="character" w:customStyle="1" w:styleId="40">
    <w:name w:val="Heading 5 Char"/>
    <w:link w:val="7"/>
    <w:qFormat/>
    <w:uiPriority w:val="9"/>
    <w:rPr>
      <w:rFonts w:ascii="等线" w:hAnsi="等线" w:eastAsia="等线" w:cs="等线"/>
      <w:b/>
      <w:bCs/>
      <w:sz w:val="24"/>
      <w:szCs w:val="24"/>
    </w:rPr>
  </w:style>
  <w:style w:type="character" w:customStyle="1" w:styleId="41">
    <w:name w:val="Heading 6 Char"/>
    <w:link w:val="8"/>
    <w:qFormat/>
    <w:uiPriority w:val="9"/>
    <w:rPr>
      <w:rFonts w:ascii="等线" w:hAnsi="等线" w:eastAsia="等线" w:cs="等线"/>
      <w:b/>
      <w:bCs/>
      <w:sz w:val="22"/>
      <w:szCs w:val="22"/>
    </w:rPr>
  </w:style>
  <w:style w:type="character" w:customStyle="1" w:styleId="42">
    <w:name w:val="Heading 7 Char"/>
    <w:link w:val="9"/>
    <w:qFormat/>
    <w:uiPriority w:val="9"/>
    <w:rPr>
      <w:rFonts w:ascii="等线" w:hAnsi="等线" w:eastAsia="等线" w:cs="等线"/>
      <w:b/>
      <w:bCs/>
      <w:i/>
      <w:iCs/>
      <w:sz w:val="22"/>
      <w:szCs w:val="22"/>
    </w:rPr>
  </w:style>
  <w:style w:type="character" w:customStyle="1" w:styleId="43">
    <w:name w:val="Heading 8 Char"/>
    <w:link w:val="10"/>
    <w:qFormat/>
    <w:uiPriority w:val="9"/>
    <w:rPr>
      <w:rFonts w:ascii="等线" w:hAnsi="等线" w:eastAsia="等线" w:cs="等线"/>
      <w:i/>
      <w:iCs/>
      <w:sz w:val="22"/>
      <w:szCs w:val="22"/>
    </w:rPr>
  </w:style>
  <w:style w:type="character" w:customStyle="1" w:styleId="44">
    <w:name w:val="Heading 9 Char"/>
    <w:link w:val="11"/>
    <w:qFormat/>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29"/>
    <w:qFormat/>
    <w:uiPriority w:val="10"/>
    <w:rPr>
      <w:sz w:val="48"/>
      <w:szCs w:val="48"/>
    </w:rPr>
  </w:style>
  <w:style w:type="character" w:customStyle="1" w:styleId="48">
    <w:name w:val="Subtitle Char"/>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link w:val="19"/>
    <w:qFormat/>
    <w:uiPriority w:val="99"/>
  </w:style>
  <w:style w:type="character" w:customStyle="1" w:styleId="54">
    <w:name w:val="Footer Char"/>
    <w:link w:val="18"/>
    <w:qFormat/>
    <w:uiPriority w:val="99"/>
  </w:style>
  <w:style w:type="character" w:customStyle="1" w:styleId="55">
    <w:name w:val="Caption Char"/>
    <w:link w:val="18"/>
    <w:qFormat/>
    <w:uiPriority w:val="99"/>
  </w:style>
  <w:style w:type="table" w:customStyle="1" w:styleId="56">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7">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9">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3">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4">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5">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6">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7">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8">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9">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1">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2">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3">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4">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5">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6">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7">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8">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9">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0">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1">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2">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3">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4">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5">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6">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7">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8">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9">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0">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1">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2">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3">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4">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5">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6">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7">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8">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9">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0">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1">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2">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3">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4">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5">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6">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7">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8">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9">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10">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11">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2">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3">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4">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5">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6">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7">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8">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0">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1">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2">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3">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4">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5">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6">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7">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8">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9">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0">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1">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2">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3">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4">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5">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6">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7">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8">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9">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0">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1">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2">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3">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4">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5">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6">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7">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8">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9">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0">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1">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2">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3">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4">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5">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6">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7">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8">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9">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60">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1">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2">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3">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4">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5">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6">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7">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8">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9">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0">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1">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2">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3">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4">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5">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6">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7">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8">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9">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0">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 w:type="paragraph" w:customStyle="1" w:styleId="184">
    <w:name w:val="标题 11"/>
    <w:basedOn w:val="1"/>
    <w:next w:val="1"/>
    <w:qFormat/>
    <w:uiPriority w:val="0"/>
    <w:pPr>
      <w:spacing w:before="100" w:beforeAutospacing="1" w:after="100" w:afterAutospacing="1"/>
      <w:jc w:val="left"/>
      <w:outlineLvl w:val="0"/>
    </w:pPr>
    <w:rPr>
      <w:rFonts w:hint="eastAsia" w:ascii="宋体" w:hAnsi="宋体" w:eastAsia="宋体" w:cs="宋体"/>
      <w:b/>
      <w:sz w:val="48"/>
      <w:szCs w:val="48"/>
      <w:lang w:val="en-US" w:eastAsia="zh-CN" w:bidi="ar"/>
    </w:rPr>
  </w:style>
  <w:style w:type="character" w:customStyle="1" w:styleId="185">
    <w:name w:val="默认段落字体11"/>
    <w:link w:val="1"/>
    <w:qFormat/>
    <w:uiPriority w:val="0"/>
  </w:style>
  <w:style w:type="table" w:customStyle="1" w:styleId="186">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7">
    <w:name w:val="题注1"/>
    <w:basedOn w:val="1"/>
    <w:next w:val="1"/>
    <w:qFormat/>
    <w:uiPriority w:val="0"/>
    <w:pPr>
      <w:widowControl w:val="0"/>
      <w:suppressLineNumbers/>
      <w:spacing w:before="120" w:after="120"/>
    </w:pPr>
    <w:rPr>
      <w:rFonts w:ascii="Calibri" w:hAnsi="Calibri" w:eastAsia="宋体" w:cs="Times New Roman"/>
      <w:i/>
      <w:iCs/>
      <w:color w:val="000000"/>
      <w:sz w:val="24"/>
      <w:szCs w:val="24"/>
    </w:rPr>
  </w:style>
  <w:style w:type="paragraph" w:customStyle="1" w:styleId="188">
    <w:name w:val="正文文本1"/>
    <w:basedOn w:val="1"/>
    <w:qFormat/>
    <w:uiPriority w:val="0"/>
    <w:pPr>
      <w:spacing w:before="0" w:after="140" w:line="276" w:lineRule="auto"/>
    </w:pPr>
    <w:rPr>
      <w:rFonts w:ascii="Calibri" w:hAnsi="Calibri" w:eastAsia="宋体" w:cs="Times New Roman"/>
      <w:color w:val="000000"/>
    </w:rPr>
  </w:style>
  <w:style w:type="paragraph" w:customStyle="1" w:styleId="189">
    <w:name w:val="批注框文本1"/>
    <w:basedOn w:val="1"/>
    <w:qFormat/>
    <w:uiPriority w:val="0"/>
    <w:rPr>
      <w:sz w:val="18"/>
      <w:szCs w:val="18"/>
    </w:rPr>
  </w:style>
  <w:style w:type="paragraph" w:customStyle="1" w:styleId="190">
    <w:name w:val="页脚1"/>
    <w:basedOn w:val="1"/>
    <w:qFormat/>
    <w:uiPriority w:val="0"/>
    <w:pPr>
      <w:tabs>
        <w:tab w:val="center" w:pos="4153"/>
        <w:tab w:val="right" w:pos="8306"/>
      </w:tabs>
      <w:jc w:val="left"/>
    </w:pPr>
    <w:rPr>
      <w:sz w:val="18"/>
      <w:szCs w:val="18"/>
    </w:rPr>
  </w:style>
  <w:style w:type="paragraph" w:customStyle="1" w:styleId="191">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92">
    <w:name w:val="列表1"/>
    <w:basedOn w:val="188"/>
    <w:qFormat/>
    <w:uiPriority w:val="0"/>
  </w:style>
  <w:style w:type="paragraph" w:customStyle="1" w:styleId="193">
    <w:name w:val="普通(网站)1"/>
    <w:basedOn w:val="1"/>
    <w:qFormat/>
    <w:uiPriority w:val="0"/>
    <w:pPr>
      <w:spacing w:before="100" w:beforeAutospacing="1" w:after="100" w:afterAutospacing="1"/>
      <w:ind w:left="0" w:right="0"/>
      <w:jc w:val="left"/>
    </w:pPr>
    <w:rPr>
      <w:rFonts w:ascii="Calibri" w:hAnsi="Calibri" w:eastAsia="宋体" w:cs="Times New Roman"/>
      <w:color w:val="000000"/>
      <w:sz w:val="24"/>
      <w:lang w:val="en-US" w:eastAsia="zh-CN" w:bidi="ar"/>
    </w:rPr>
  </w:style>
  <w:style w:type="table" w:customStyle="1" w:styleId="194">
    <w:name w:val="网格型1"/>
    <w:basedOn w:val="186"/>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5">
    <w:name w:val="页码1"/>
    <w:basedOn w:val="185"/>
    <w:link w:val="1"/>
    <w:qFormat/>
    <w:uiPriority w:val="0"/>
  </w:style>
  <w:style w:type="character" w:customStyle="1" w:styleId="196">
    <w:name w:val="默认段落字体1"/>
    <w:link w:val="1"/>
    <w:qFormat/>
    <w:uiPriority w:val="0"/>
    <w:rPr>
      <w:rFonts w:ascii="Times New Roman" w:hAnsi="Times New Roman" w:eastAsia="宋体" w:cs="Times New Roman"/>
    </w:rPr>
  </w:style>
  <w:style w:type="paragraph" w:customStyle="1" w:styleId="197">
    <w:name w:val="Heading"/>
    <w:basedOn w:val="1"/>
    <w:next w:val="188"/>
    <w:qFormat/>
    <w:uiPriority w:val="0"/>
    <w:pPr>
      <w:keepNext/>
      <w:widowControl w:val="0"/>
      <w:spacing w:before="240" w:after="120"/>
    </w:pPr>
    <w:rPr>
      <w:rFonts w:ascii="Liberation Sans" w:hAnsi="Liberation Sans" w:eastAsia="Noto Sans CJK SC Regular" w:cs="Noto Sans CJK SC Regular"/>
      <w:color w:val="000000"/>
      <w:sz w:val="28"/>
      <w:szCs w:val="28"/>
      <w:lang w:bidi="ar-SA"/>
    </w:rPr>
  </w:style>
  <w:style w:type="paragraph" w:customStyle="1" w:styleId="198">
    <w:name w:val="无间隔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99">
    <w:name w:val="Index"/>
    <w:basedOn w:val="1"/>
    <w:qFormat/>
    <w:uiPriority w:val="0"/>
    <w:pPr>
      <w:widowControl w:val="0"/>
      <w:suppressLineNumbers/>
    </w:pPr>
    <w:rPr>
      <w:rFonts w:ascii="Calibri" w:hAnsi="Calibri" w:eastAsia="宋体" w:cs="Times New Roman"/>
      <w:color w:val="000000"/>
    </w:rPr>
  </w:style>
  <w:style w:type="table" w:customStyle="1" w:styleId="200">
    <w:name w:val="Table Normal"/>
    <w:unhideWhenUsed/>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德政</Template>
  <Company>Micro</Company>
  <Pages>15</Pages>
  <Words>5151</Words>
  <Characters>5181</Characters>
  <TotalTime>0</TotalTime>
  <ScaleCrop>false</ScaleCrop>
  <LinksUpToDate>false</LinksUpToDate>
  <CharactersWithSpaces>5263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us</dc:creator>
  <cp:lastModifiedBy>张张张</cp:lastModifiedBy>
  <dcterms:modified xsi:type="dcterms:W3CDTF">2025-11-18T10:07:05Z</dcterms:modified>
  <dc:title>德宏州人民政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eyJoZGlkIjoiZGFmOGM1NDA1ZmI0NzRmNDdhOWMyMDQ1ZjRhMjdkMDEiLCJ1c2VySWQiOiIxMTUxNjA0OTc3In0=</vt:lpwstr>
  </property>
  <property fmtid="{D5CDD505-2E9C-101B-9397-08002B2CF9AE}" pid="3" name="KSOProductBuildVer">
    <vt:lpwstr>2052-12.1.0.18276</vt:lpwstr>
  </property>
  <property fmtid="{D5CDD505-2E9C-101B-9397-08002B2CF9AE}" pid="4" name="ICV">
    <vt:lpwstr>8A6C07030F934C4CA7D29037D09BBB53_12</vt:lpwstr>
  </property>
</Properties>
</file>