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C955">
      <w:pPr>
        <w:spacing w:before="0" w:after="0" w:line="519" w:lineRule="exact"/>
        <w:ind w:firstLine="2891" w:firstLineChars="800"/>
        <w:jc w:val="left"/>
        <w:rPr>
          <w:rFonts w:hint="eastAsia" w:ascii="方正小标宋简体" w:hAnsi="方正小标宋简体" w:eastAsia="方正小标宋简体" w:cs="方正小标宋简体"/>
          <w:b/>
          <w:bCs/>
          <w:color w:val="000000"/>
          <w:spacing w:val="0"/>
          <w:position w:val="0"/>
          <w:sz w:val="36"/>
          <w:u w:val="none"/>
          <w:lang w:val="en-US" w:eastAsia="zh-CN"/>
        </w:rPr>
      </w:pPr>
    </w:p>
    <w:p w14:paraId="2FB022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3" w:firstLineChars="200"/>
        <w:jc w:val="center"/>
        <w:textAlignment w:val="auto"/>
        <w:outlineLvl w:val="9"/>
        <w:rPr>
          <w:rFonts w:hint="eastAsia" w:ascii="宋体" w:hAnsi="宋体" w:cs="宋体"/>
          <w:color w:val="000000"/>
          <w:spacing w:val="0"/>
          <w:position w:val="0"/>
          <w:sz w:val="24"/>
          <w:u w:val="none"/>
          <w:lang w:eastAsia="zh-CN"/>
        </w:rPr>
      </w:pPr>
      <w:r>
        <w:rPr>
          <w:rFonts w:hint="eastAsia" w:ascii="方正小标宋简体" w:hAnsi="方正小标宋简体" w:eastAsia="方正小标宋简体" w:cs="方正小标宋简体"/>
          <w:b/>
          <w:bCs/>
          <w:color w:val="000000"/>
          <w:spacing w:val="0"/>
          <w:position w:val="0"/>
          <w:sz w:val="36"/>
          <w:u w:val="none"/>
          <w:lang w:val="en-US" w:eastAsia="zh-CN"/>
        </w:rPr>
        <w:t>2024年</w:t>
      </w:r>
      <w:r>
        <w:rPr>
          <w:rFonts w:hint="eastAsia" w:ascii="方正小标宋简体" w:hAnsi="方正小标宋简体" w:eastAsia="方正小标宋简体" w:cs="方正小标宋简体"/>
          <w:b/>
          <w:bCs/>
          <w:color w:val="000000"/>
          <w:spacing w:val="0"/>
          <w:position w:val="0"/>
          <w:sz w:val="36"/>
          <w:u w:val="none"/>
        </w:rPr>
        <w:t>重点工作情况解释说明汇总表</w:t>
      </w:r>
    </w:p>
    <w:tbl>
      <w:tblPr>
        <w:tblStyle w:val="4"/>
        <w:tblpPr w:leftFromText="180" w:rightFromText="180" w:vertAnchor="page" w:horzAnchor="page" w:tblpX="657" w:tblpY="1723"/>
        <w:tblW w:w="10763" w:type="dxa"/>
        <w:tblInd w:w="0" w:type="dxa"/>
        <w:tblLayout w:type="fixed"/>
        <w:tblCellMar>
          <w:top w:w="0" w:type="dxa"/>
          <w:left w:w="108" w:type="dxa"/>
          <w:bottom w:w="0" w:type="dxa"/>
          <w:right w:w="108" w:type="dxa"/>
        </w:tblCellMar>
      </w:tblPr>
      <w:tblGrid>
        <w:gridCol w:w="2242"/>
        <w:gridCol w:w="8521"/>
      </w:tblGrid>
      <w:tr w14:paraId="43001748">
        <w:tblPrEx>
          <w:tblCellMar>
            <w:top w:w="0" w:type="dxa"/>
            <w:left w:w="108" w:type="dxa"/>
            <w:bottom w:w="0" w:type="dxa"/>
            <w:right w:w="108" w:type="dxa"/>
          </w:tblCellMar>
        </w:tblPrEx>
        <w:trPr>
          <w:trHeight w:val="487"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24D2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重点工作</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2D7A4C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2024年工作重点及工作情况</w:t>
            </w:r>
          </w:p>
        </w:tc>
      </w:tr>
      <w:tr w14:paraId="56316DD1">
        <w:tblPrEx>
          <w:tblCellMar>
            <w:top w:w="0" w:type="dxa"/>
            <w:left w:w="108" w:type="dxa"/>
            <w:bottom w:w="0" w:type="dxa"/>
            <w:right w:w="108" w:type="dxa"/>
          </w:tblCellMar>
        </w:tblPrEx>
        <w:trPr>
          <w:trHeight w:val="3278"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154D3A23">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14:paraId="4E22C1AA">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p>
          <w:p w14:paraId="2BF487C7">
            <w:pPr>
              <w:keepNext w:val="0"/>
              <w:keepLines w:val="0"/>
              <w:pageBreakBefore w:val="0"/>
              <w:widowControl w:val="0"/>
              <w:kinsoku/>
              <w:wordWrap/>
              <w:overflowPunct/>
              <w:topLinePunct w:val="0"/>
              <w:autoSpaceDE/>
              <w:autoSpaceDN/>
              <w:bidi w:val="0"/>
              <w:adjustRightInd/>
              <w:snapToGrid/>
              <w:spacing w:line="360" w:lineRule="auto"/>
              <w:ind w:right="0" w:rightChars="0" w:firstLine="240" w:firstLineChars="100"/>
              <w:jc w:val="both"/>
              <w:textAlignment w:val="auto"/>
              <w:outlineLvl w:val="9"/>
              <w:rPr>
                <w:rFonts w:hint="eastAsia" w:ascii="宋体" w:hAnsi="宋体" w:cs="宋体"/>
                <w:color w:val="000000"/>
                <w:spacing w:val="0"/>
                <w:position w:val="0"/>
                <w:sz w:val="24"/>
                <w:u w:val="none"/>
                <w:lang w:eastAsia="zh-CN"/>
              </w:rPr>
            </w:pPr>
            <w:r>
              <w:rPr>
                <w:rFonts w:hint="eastAsia" w:ascii="宋体" w:hAnsi="宋体" w:cs="宋体"/>
                <w:color w:val="000000"/>
                <w:spacing w:val="0"/>
                <w:position w:val="0"/>
                <w:sz w:val="24"/>
                <w:u w:val="none"/>
                <w:lang w:eastAsia="zh-CN"/>
              </w:rPr>
              <w:t>转移支付安排情况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214CD3B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pacing w:val="0"/>
                <w:position w:val="0"/>
                <w:sz w:val="24"/>
                <w:szCs w:val="32"/>
                <w:highlight w:val="none"/>
                <w:u w:val="none"/>
                <w:lang w:eastAsia="zh-CN"/>
              </w:rPr>
            </w:pPr>
            <w:r>
              <w:rPr>
                <w:rFonts w:hint="eastAsia" w:ascii="方正仿宋_GBK" w:hAnsi="方正仿宋_GBK" w:eastAsia="方正仿宋_GBK" w:cs="方正仿宋_GBK"/>
                <w:color w:val="000000"/>
                <w:spacing w:val="0"/>
                <w:position w:val="0"/>
                <w:sz w:val="24"/>
                <w:szCs w:val="32"/>
                <w:highlight w:val="none"/>
                <w:u w:val="none"/>
                <w:lang w:val="en-US" w:eastAsia="zh-CN"/>
              </w:rPr>
              <w:t>2024年</w:t>
            </w:r>
            <w:r>
              <w:rPr>
                <w:rFonts w:hint="default" w:ascii="方正仿宋_GBK" w:hAnsi="方正仿宋_GBK" w:eastAsia="方正仿宋_GBK" w:cs="方正仿宋_GBK"/>
                <w:color w:val="000000"/>
                <w:spacing w:val="0"/>
                <w:position w:val="0"/>
                <w:sz w:val="24"/>
                <w:szCs w:val="32"/>
                <w:highlight w:val="none"/>
                <w:u w:val="none"/>
                <w:lang w:val="en-US" w:eastAsia="zh-CN"/>
              </w:rPr>
              <w:t>，梁河县共收到上级补助收入</w:t>
            </w:r>
            <w:r>
              <w:rPr>
                <w:rFonts w:hint="eastAsia" w:ascii="方正仿宋_GBK" w:hAnsi="方正仿宋_GBK" w:eastAsia="方正仿宋_GBK" w:cs="方正仿宋_GBK"/>
                <w:color w:val="000000"/>
                <w:spacing w:val="0"/>
                <w:position w:val="0"/>
                <w:sz w:val="24"/>
                <w:szCs w:val="32"/>
                <w:highlight w:val="none"/>
                <w:u w:val="none"/>
                <w:lang w:val="en-US" w:eastAsia="zh-CN"/>
              </w:rPr>
              <w:t>124504</w:t>
            </w:r>
            <w:r>
              <w:rPr>
                <w:rFonts w:hint="default" w:ascii="方正仿宋_GBK" w:hAnsi="方正仿宋_GBK" w:eastAsia="方正仿宋_GBK" w:cs="方正仿宋_GBK"/>
                <w:color w:val="000000"/>
                <w:spacing w:val="0"/>
                <w:position w:val="0"/>
                <w:sz w:val="24"/>
                <w:szCs w:val="32"/>
                <w:highlight w:val="none"/>
                <w:u w:val="none"/>
                <w:lang w:val="en-US" w:eastAsia="zh-CN"/>
              </w:rPr>
              <w:t>万元，其中：一般性转移支付收入</w:t>
            </w:r>
            <w:r>
              <w:rPr>
                <w:rFonts w:hint="eastAsia" w:ascii="方正仿宋_GBK" w:hAnsi="方正仿宋_GBK" w:eastAsia="方正仿宋_GBK" w:cs="方正仿宋_GBK"/>
                <w:color w:val="000000"/>
                <w:spacing w:val="0"/>
                <w:position w:val="0"/>
                <w:sz w:val="24"/>
                <w:szCs w:val="32"/>
                <w:highlight w:val="none"/>
                <w:u w:val="none"/>
                <w:lang w:val="en-US" w:eastAsia="zh-CN"/>
              </w:rPr>
              <w:t>103240</w:t>
            </w:r>
            <w:r>
              <w:rPr>
                <w:rFonts w:hint="default" w:ascii="方正仿宋_GBK" w:hAnsi="方正仿宋_GBK" w:eastAsia="方正仿宋_GBK" w:cs="方正仿宋_GBK"/>
                <w:color w:val="000000"/>
                <w:spacing w:val="0"/>
                <w:position w:val="0"/>
                <w:sz w:val="24"/>
                <w:szCs w:val="32"/>
                <w:highlight w:val="none"/>
                <w:u w:val="none"/>
                <w:lang w:val="en-US" w:eastAsia="zh-CN"/>
              </w:rPr>
              <w:t>万元，</w:t>
            </w:r>
            <w:r>
              <w:rPr>
                <w:rFonts w:hint="eastAsia" w:ascii="方正仿宋_GBK" w:hAnsi="方正仿宋_GBK" w:eastAsia="方正仿宋_GBK" w:cs="方正仿宋_GBK"/>
                <w:color w:val="auto"/>
                <w:spacing w:val="0"/>
                <w:position w:val="0"/>
                <w:sz w:val="24"/>
                <w:szCs w:val="32"/>
                <w:highlight w:val="none"/>
                <w:u w:val="none"/>
                <w:lang w:val="en-US" w:eastAsia="zh-CN"/>
              </w:rPr>
              <w:t>下降16.9</w:t>
            </w:r>
            <w:r>
              <w:rPr>
                <w:rFonts w:hint="default" w:ascii="方正仿宋_GBK" w:hAnsi="方正仿宋_GBK" w:eastAsia="方正仿宋_GBK" w:cs="方正仿宋_GBK"/>
                <w:color w:val="auto"/>
                <w:spacing w:val="0"/>
                <w:position w:val="0"/>
                <w:sz w:val="24"/>
                <w:szCs w:val="32"/>
                <w:highlight w:val="none"/>
                <w:u w:val="none"/>
                <w:lang w:val="en-US" w:eastAsia="zh-CN"/>
              </w:rPr>
              <w:t>%，</w:t>
            </w:r>
            <w:r>
              <w:rPr>
                <w:rFonts w:hint="default" w:ascii="方正仿宋_GBK" w:hAnsi="方正仿宋_GBK" w:eastAsia="方正仿宋_GBK" w:cs="方正仿宋_GBK"/>
                <w:color w:val="000000"/>
                <w:spacing w:val="0"/>
                <w:position w:val="0"/>
                <w:sz w:val="24"/>
                <w:szCs w:val="32"/>
                <w:highlight w:val="none"/>
                <w:u w:val="none"/>
                <w:lang w:val="en-US" w:eastAsia="zh-CN"/>
              </w:rPr>
              <w:t>占转移支付收入比重</w:t>
            </w:r>
            <w:r>
              <w:rPr>
                <w:rFonts w:hint="eastAsia" w:ascii="方正仿宋_GBK" w:hAnsi="方正仿宋_GBK" w:eastAsia="方正仿宋_GBK" w:cs="方正仿宋_GBK"/>
                <w:color w:val="auto"/>
                <w:spacing w:val="0"/>
                <w:position w:val="0"/>
                <w:sz w:val="24"/>
                <w:szCs w:val="32"/>
                <w:highlight w:val="none"/>
                <w:u w:val="none"/>
                <w:lang w:val="en-US" w:eastAsia="zh-CN"/>
              </w:rPr>
              <w:t>82.9</w:t>
            </w:r>
            <w:r>
              <w:rPr>
                <w:rFonts w:hint="default" w:ascii="方正仿宋_GBK" w:hAnsi="方正仿宋_GBK" w:eastAsia="方正仿宋_GBK" w:cs="方正仿宋_GBK"/>
                <w:color w:val="auto"/>
                <w:spacing w:val="0"/>
                <w:position w:val="0"/>
                <w:sz w:val="24"/>
                <w:szCs w:val="32"/>
                <w:highlight w:val="none"/>
                <w:u w:val="none"/>
                <w:lang w:val="en-US" w:eastAsia="zh-CN"/>
              </w:rPr>
              <w:t>%；专</w:t>
            </w:r>
            <w:r>
              <w:rPr>
                <w:rFonts w:hint="default" w:ascii="方正仿宋_GBK" w:hAnsi="方正仿宋_GBK" w:eastAsia="方正仿宋_GBK" w:cs="方正仿宋_GBK"/>
                <w:color w:val="000000"/>
                <w:spacing w:val="0"/>
                <w:position w:val="0"/>
                <w:sz w:val="24"/>
                <w:szCs w:val="32"/>
                <w:highlight w:val="none"/>
                <w:u w:val="none"/>
                <w:lang w:val="en-US" w:eastAsia="zh-CN"/>
              </w:rPr>
              <w:t>项转移支付收入</w:t>
            </w:r>
            <w:r>
              <w:rPr>
                <w:rFonts w:hint="eastAsia" w:ascii="方正仿宋_GBK" w:hAnsi="方正仿宋_GBK" w:eastAsia="方正仿宋_GBK" w:cs="方正仿宋_GBK"/>
                <w:color w:val="000000"/>
                <w:spacing w:val="0"/>
                <w:position w:val="0"/>
                <w:sz w:val="24"/>
                <w:szCs w:val="32"/>
                <w:highlight w:val="none"/>
                <w:u w:val="none"/>
                <w:lang w:val="en-US" w:eastAsia="zh-CN"/>
              </w:rPr>
              <w:t>18392</w:t>
            </w:r>
            <w:r>
              <w:rPr>
                <w:rFonts w:hint="default" w:ascii="方正仿宋_GBK" w:hAnsi="方正仿宋_GBK" w:eastAsia="方正仿宋_GBK" w:cs="方正仿宋_GBK"/>
                <w:color w:val="000000"/>
                <w:spacing w:val="0"/>
                <w:position w:val="0"/>
                <w:sz w:val="24"/>
                <w:szCs w:val="32"/>
                <w:highlight w:val="none"/>
                <w:u w:val="none"/>
                <w:lang w:val="en-US" w:eastAsia="zh-CN"/>
              </w:rPr>
              <w:t>万元，</w:t>
            </w:r>
            <w:r>
              <w:rPr>
                <w:rFonts w:hint="eastAsia" w:ascii="方正仿宋_GBK" w:hAnsi="方正仿宋_GBK" w:eastAsia="方正仿宋_GBK" w:cs="方正仿宋_GBK"/>
                <w:color w:val="000000"/>
                <w:spacing w:val="0"/>
                <w:position w:val="0"/>
                <w:sz w:val="24"/>
                <w:szCs w:val="32"/>
                <w:highlight w:val="none"/>
                <w:u w:val="none"/>
                <w:lang w:val="en-US" w:eastAsia="zh-CN"/>
              </w:rPr>
              <w:t>增长19.1</w:t>
            </w:r>
            <w:r>
              <w:rPr>
                <w:rFonts w:hint="default" w:ascii="方正仿宋_GBK" w:hAnsi="方正仿宋_GBK" w:eastAsia="方正仿宋_GBK" w:cs="方正仿宋_GBK"/>
                <w:color w:val="auto"/>
                <w:spacing w:val="0"/>
                <w:position w:val="0"/>
                <w:sz w:val="24"/>
                <w:szCs w:val="32"/>
                <w:highlight w:val="none"/>
                <w:u w:val="none"/>
                <w:lang w:val="en-US" w:eastAsia="zh-CN"/>
              </w:rPr>
              <w:t>%，</w:t>
            </w:r>
            <w:r>
              <w:rPr>
                <w:rFonts w:hint="default" w:ascii="方正仿宋_GBK" w:hAnsi="方正仿宋_GBK" w:eastAsia="方正仿宋_GBK" w:cs="方正仿宋_GBK"/>
                <w:color w:val="000000"/>
                <w:spacing w:val="0"/>
                <w:position w:val="0"/>
                <w:sz w:val="24"/>
                <w:szCs w:val="32"/>
                <w:highlight w:val="none"/>
                <w:u w:val="none"/>
                <w:lang w:val="en-US" w:eastAsia="zh-CN"/>
              </w:rPr>
              <w:t>占转移支付收入比</w:t>
            </w:r>
            <w:r>
              <w:rPr>
                <w:rFonts w:hint="default" w:ascii="方正仿宋_GBK" w:hAnsi="方正仿宋_GBK" w:eastAsia="方正仿宋_GBK" w:cs="方正仿宋_GBK"/>
                <w:color w:val="auto"/>
                <w:spacing w:val="0"/>
                <w:position w:val="0"/>
                <w:sz w:val="24"/>
                <w:szCs w:val="32"/>
                <w:highlight w:val="none"/>
                <w:u w:val="none"/>
                <w:lang w:val="en-US" w:eastAsia="zh-CN"/>
              </w:rPr>
              <w:t>重</w:t>
            </w:r>
            <w:r>
              <w:rPr>
                <w:rFonts w:hint="eastAsia" w:ascii="方正仿宋_GBK" w:hAnsi="方正仿宋_GBK" w:eastAsia="方正仿宋_GBK" w:cs="方正仿宋_GBK"/>
                <w:color w:val="auto"/>
                <w:spacing w:val="0"/>
                <w:position w:val="0"/>
                <w:sz w:val="24"/>
                <w:szCs w:val="32"/>
                <w:highlight w:val="none"/>
                <w:u w:val="none"/>
                <w:lang w:val="en-US" w:eastAsia="zh-CN"/>
              </w:rPr>
              <w:t>14.8</w:t>
            </w:r>
            <w:r>
              <w:rPr>
                <w:rFonts w:hint="default" w:ascii="方正仿宋_GBK" w:hAnsi="方正仿宋_GBK" w:eastAsia="方正仿宋_GBK" w:cs="方正仿宋_GBK"/>
                <w:color w:val="auto"/>
                <w:spacing w:val="0"/>
                <w:position w:val="0"/>
                <w:sz w:val="24"/>
                <w:szCs w:val="32"/>
                <w:highlight w:val="none"/>
                <w:u w:val="none"/>
                <w:lang w:val="en-US" w:eastAsia="zh-CN"/>
              </w:rPr>
              <w:t>%</w:t>
            </w:r>
            <w:r>
              <w:rPr>
                <w:rFonts w:hint="default" w:ascii="方正仿宋_GBK" w:hAnsi="方正仿宋_GBK" w:eastAsia="方正仿宋_GBK" w:cs="方正仿宋_GBK"/>
                <w:color w:val="000000"/>
                <w:spacing w:val="0"/>
                <w:position w:val="0"/>
                <w:sz w:val="24"/>
                <w:szCs w:val="32"/>
                <w:highlight w:val="none"/>
                <w:u w:val="none"/>
                <w:lang w:val="en-US" w:eastAsia="zh-CN"/>
              </w:rPr>
              <w:t>。</w:t>
            </w:r>
            <w:r>
              <w:rPr>
                <w:rFonts w:hint="default" w:ascii="方正仿宋_GBK" w:hAnsi="方正仿宋_GBK" w:eastAsia="方正仿宋_GBK" w:cs="方正仿宋_GBK"/>
                <w:color w:val="auto"/>
                <w:spacing w:val="0"/>
                <w:position w:val="0"/>
                <w:sz w:val="24"/>
                <w:szCs w:val="32"/>
                <w:highlight w:val="none"/>
                <w:u w:val="none"/>
                <w:lang w:val="en-US" w:eastAsia="zh-CN"/>
              </w:rPr>
              <w:t>一般性转移支付收入中，均衡性转移支付收入</w:t>
            </w:r>
            <w:r>
              <w:rPr>
                <w:rFonts w:hint="eastAsia" w:ascii="方正仿宋_GBK" w:hAnsi="方正仿宋_GBK" w:eastAsia="方正仿宋_GBK" w:cs="方正仿宋_GBK"/>
                <w:color w:val="auto"/>
                <w:spacing w:val="0"/>
                <w:position w:val="0"/>
                <w:sz w:val="24"/>
                <w:szCs w:val="32"/>
                <w:highlight w:val="none"/>
                <w:u w:val="none"/>
                <w:lang w:val="en-US" w:eastAsia="zh-CN"/>
              </w:rPr>
              <w:t>22061</w:t>
            </w:r>
            <w:r>
              <w:rPr>
                <w:rFonts w:hint="default" w:ascii="方正仿宋_GBK" w:hAnsi="方正仿宋_GBK" w:eastAsia="方正仿宋_GBK" w:cs="方正仿宋_GBK"/>
                <w:color w:val="auto"/>
                <w:spacing w:val="0"/>
                <w:position w:val="0"/>
                <w:sz w:val="24"/>
                <w:szCs w:val="32"/>
                <w:highlight w:val="none"/>
                <w:u w:val="none"/>
                <w:lang w:val="en-US" w:eastAsia="zh-CN"/>
              </w:rPr>
              <w:t>万元，</w:t>
            </w:r>
            <w:r>
              <w:rPr>
                <w:rFonts w:hint="eastAsia" w:ascii="方正仿宋_GBK" w:hAnsi="方正仿宋_GBK" w:eastAsia="方正仿宋_GBK" w:cs="方正仿宋_GBK"/>
                <w:color w:val="auto"/>
                <w:spacing w:val="0"/>
                <w:position w:val="0"/>
                <w:sz w:val="24"/>
                <w:szCs w:val="32"/>
                <w:highlight w:val="none"/>
                <w:u w:val="none"/>
                <w:lang w:val="en-US" w:eastAsia="zh-CN"/>
              </w:rPr>
              <w:t>增长2%</w:t>
            </w:r>
            <w:r>
              <w:rPr>
                <w:rFonts w:hint="default" w:ascii="方正仿宋_GBK" w:hAnsi="方正仿宋_GBK" w:eastAsia="方正仿宋_GBK" w:cs="方正仿宋_GBK"/>
                <w:color w:val="auto"/>
                <w:spacing w:val="0"/>
                <w:position w:val="0"/>
                <w:sz w:val="24"/>
                <w:szCs w:val="32"/>
                <w:highlight w:val="none"/>
                <w:u w:val="none"/>
                <w:lang w:val="en-US" w:eastAsia="zh-CN"/>
              </w:rPr>
              <w:t>；县级基本财力保障机制奖补资金收入</w:t>
            </w:r>
            <w:r>
              <w:rPr>
                <w:rFonts w:hint="eastAsia" w:ascii="方正仿宋_GBK" w:hAnsi="方正仿宋_GBK" w:eastAsia="方正仿宋_GBK" w:cs="方正仿宋_GBK"/>
                <w:color w:val="auto"/>
                <w:spacing w:val="0"/>
                <w:position w:val="0"/>
                <w:sz w:val="24"/>
                <w:szCs w:val="32"/>
                <w:highlight w:val="none"/>
                <w:u w:val="none"/>
                <w:lang w:val="en-US" w:eastAsia="zh-CN"/>
              </w:rPr>
              <w:t>19961</w:t>
            </w:r>
            <w:r>
              <w:rPr>
                <w:rFonts w:hint="default" w:ascii="方正仿宋_GBK" w:hAnsi="方正仿宋_GBK" w:eastAsia="方正仿宋_GBK" w:cs="方正仿宋_GBK"/>
                <w:color w:val="auto"/>
                <w:spacing w:val="0"/>
                <w:position w:val="0"/>
                <w:sz w:val="24"/>
                <w:szCs w:val="32"/>
                <w:highlight w:val="none"/>
                <w:u w:val="none"/>
                <w:lang w:val="en-US" w:eastAsia="zh-CN"/>
              </w:rPr>
              <w:t>万元，</w:t>
            </w:r>
            <w:r>
              <w:rPr>
                <w:rFonts w:hint="eastAsia" w:ascii="方正仿宋_GBK" w:hAnsi="方正仿宋_GBK" w:eastAsia="方正仿宋_GBK" w:cs="方正仿宋_GBK"/>
                <w:color w:val="auto"/>
                <w:spacing w:val="0"/>
                <w:position w:val="0"/>
                <w:sz w:val="24"/>
                <w:szCs w:val="32"/>
                <w:highlight w:val="none"/>
                <w:u w:val="none"/>
                <w:lang w:val="en-US" w:eastAsia="zh-CN"/>
              </w:rPr>
              <w:t>增长7.8%</w:t>
            </w:r>
            <w:r>
              <w:rPr>
                <w:rFonts w:hint="default" w:ascii="方正仿宋_GBK" w:hAnsi="方正仿宋_GBK" w:eastAsia="方正仿宋_GBK" w:cs="方正仿宋_GBK"/>
                <w:color w:val="auto"/>
                <w:spacing w:val="0"/>
                <w:position w:val="0"/>
                <w:sz w:val="24"/>
                <w:szCs w:val="32"/>
                <w:highlight w:val="none"/>
                <w:u w:val="none"/>
                <w:lang w:val="en-US" w:eastAsia="zh-CN"/>
              </w:rPr>
              <w:t>；</w:t>
            </w:r>
            <w:r>
              <w:rPr>
                <w:rFonts w:hint="eastAsia" w:ascii="方正仿宋_GBK" w:hAnsi="方正仿宋_GBK" w:eastAsia="方正仿宋_GBK" w:cs="方正仿宋_GBK"/>
                <w:color w:val="auto"/>
                <w:spacing w:val="0"/>
                <w:position w:val="0"/>
                <w:sz w:val="24"/>
                <w:szCs w:val="32"/>
                <w:highlight w:val="none"/>
                <w:u w:val="none"/>
                <w:lang w:val="en-US" w:eastAsia="zh-CN"/>
              </w:rPr>
              <w:t>固定数额补助收入12265万元，增长32.7%；</w:t>
            </w:r>
            <w:r>
              <w:rPr>
                <w:rFonts w:hint="default" w:ascii="方正仿宋_GBK" w:hAnsi="方正仿宋_GBK" w:eastAsia="方正仿宋_GBK" w:cs="方正仿宋_GBK"/>
                <w:color w:val="auto"/>
                <w:spacing w:val="0"/>
                <w:position w:val="0"/>
                <w:sz w:val="24"/>
                <w:szCs w:val="32"/>
                <w:highlight w:val="none"/>
                <w:u w:val="none"/>
                <w:lang w:val="en-US" w:eastAsia="zh-CN"/>
              </w:rPr>
              <w:t>巩固脱贫攻坚成果衔接乡村振兴转移支付收入</w:t>
            </w:r>
            <w:r>
              <w:rPr>
                <w:rFonts w:hint="eastAsia" w:ascii="方正仿宋_GBK" w:hAnsi="方正仿宋_GBK" w:eastAsia="方正仿宋_GBK" w:cs="方正仿宋_GBK"/>
                <w:color w:val="auto"/>
                <w:spacing w:val="0"/>
                <w:position w:val="0"/>
                <w:sz w:val="24"/>
                <w:szCs w:val="32"/>
                <w:highlight w:val="none"/>
                <w:u w:val="none"/>
                <w:lang w:val="en-US" w:eastAsia="zh-CN"/>
              </w:rPr>
              <w:t>9797</w:t>
            </w:r>
            <w:r>
              <w:rPr>
                <w:rFonts w:hint="default" w:ascii="方正仿宋_GBK" w:hAnsi="方正仿宋_GBK" w:eastAsia="方正仿宋_GBK" w:cs="方正仿宋_GBK"/>
                <w:color w:val="auto"/>
                <w:spacing w:val="0"/>
                <w:position w:val="0"/>
                <w:sz w:val="24"/>
                <w:szCs w:val="32"/>
                <w:highlight w:val="none"/>
                <w:u w:val="none"/>
                <w:lang w:val="en-US" w:eastAsia="zh-CN"/>
              </w:rPr>
              <w:t>万元，</w:t>
            </w:r>
            <w:r>
              <w:rPr>
                <w:rFonts w:hint="eastAsia" w:ascii="方正仿宋_GBK" w:hAnsi="方正仿宋_GBK" w:eastAsia="方正仿宋_GBK" w:cs="方正仿宋_GBK"/>
                <w:color w:val="auto"/>
                <w:spacing w:val="0"/>
                <w:position w:val="0"/>
                <w:sz w:val="24"/>
                <w:szCs w:val="32"/>
                <w:highlight w:val="none"/>
                <w:u w:val="none"/>
                <w:lang w:val="en-US" w:eastAsia="zh-CN"/>
              </w:rPr>
              <w:t>增长13.4</w:t>
            </w:r>
            <w:r>
              <w:rPr>
                <w:rFonts w:hint="default" w:ascii="方正仿宋_GBK" w:hAnsi="方正仿宋_GBK" w:eastAsia="方正仿宋_GBK" w:cs="方正仿宋_GBK"/>
                <w:color w:val="auto"/>
                <w:spacing w:val="0"/>
                <w:position w:val="0"/>
                <w:sz w:val="24"/>
                <w:szCs w:val="32"/>
                <w:highlight w:val="none"/>
                <w:u w:val="none"/>
                <w:lang w:val="en-US" w:eastAsia="zh-CN"/>
              </w:rPr>
              <w:t>%；</w:t>
            </w:r>
            <w:r>
              <w:rPr>
                <w:rFonts w:hint="eastAsia" w:ascii="方正仿宋_GBK" w:hAnsi="方正仿宋_GBK" w:eastAsia="方正仿宋_GBK" w:cs="方正仿宋_GBK"/>
                <w:color w:val="auto"/>
                <w:spacing w:val="0"/>
                <w:position w:val="0"/>
                <w:sz w:val="24"/>
                <w:szCs w:val="32"/>
                <w:highlight w:val="none"/>
                <w:u w:val="none"/>
                <w:lang w:val="en-US" w:eastAsia="zh-CN"/>
              </w:rPr>
              <w:t>结算</w:t>
            </w:r>
            <w:r>
              <w:rPr>
                <w:rFonts w:hint="default" w:ascii="方正仿宋_GBK" w:hAnsi="方正仿宋_GBK" w:eastAsia="方正仿宋_GBK" w:cs="方正仿宋_GBK"/>
                <w:color w:val="auto"/>
                <w:spacing w:val="0"/>
                <w:position w:val="0"/>
                <w:sz w:val="24"/>
                <w:szCs w:val="32"/>
                <w:highlight w:val="none"/>
                <w:u w:val="none"/>
                <w:lang w:val="en-US" w:eastAsia="zh-CN"/>
              </w:rPr>
              <w:t>补助收入</w:t>
            </w:r>
            <w:r>
              <w:rPr>
                <w:rFonts w:hint="eastAsia" w:ascii="方正仿宋_GBK" w:hAnsi="方正仿宋_GBK" w:eastAsia="方正仿宋_GBK" w:cs="方正仿宋_GBK"/>
                <w:color w:val="auto"/>
                <w:spacing w:val="0"/>
                <w:position w:val="0"/>
                <w:sz w:val="24"/>
                <w:szCs w:val="32"/>
                <w:highlight w:val="none"/>
                <w:u w:val="none"/>
                <w:lang w:val="en-US" w:eastAsia="zh-CN"/>
              </w:rPr>
              <w:t>3259</w:t>
            </w:r>
            <w:r>
              <w:rPr>
                <w:rFonts w:hint="default" w:ascii="方正仿宋_GBK" w:hAnsi="方正仿宋_GBK" w:eastAsia="方正仿宋_GBK" w:cs="方正仿宋_GBK"/>
                <w:color w:val="auto"/>
                <w:spacing w:val="0"/>
                <w:position w:val="0"/>
                <w:sz w:val="24"/>
                <w:szCs w:val="32"/>
                <w:highlight w:val="none"/>
                <w:u w:val="none"/>
                <w:lang w:val="en-US" w:eastAsia="zh-CN"/>
              </w:rPr>
              <w:t>万元，</w:t>
            </w:r>
            <w:r>
              <w:rPr>
                <w:rFonts w:hint="eastAsia" w:ascii="方正仿宋_GBK" w:hAnsi="方正仿宋_GBK" w:eastAsia="方正仿宋_GBK" w:cs="方正仿宋_GBK"/>
                <w:color w:val="auto"/>
                <w:spacing w:val="0"/>
                <w:position w:val="0"/>
                <w:sz w:val="24"/>
                <w:szCs w:val="32"/>
                <w:highlight w:val="none"/>
                <w:u w:val="none"/>
                <w:lang w:val="en-US" w:eastAsia="zh-CN"/>
              </w:rPr>
              <w:t>下降56.9</w:t>
            </w:r>
            <w:r>
              <w:rPr>
                <w:rFonts w:hint="default" w:ascii="方正仿宋_GBK" w:hAnsi="方正仿宋_GBK" w:eastAsia="方正仿宋_GBK" w:cs="方正仿宋_GBK"/>
                <w:color w:val="auto"/>
                <w:spacing w:val="0"/>
                <w:position w:val="0"/>
                <w:sz w:val="24"/>
                <w:szCs w:val="32"/>
                <w:highlight w:val="none"/>
                <w:u w:val="none"/>
                <w:lang w:val="en-US" w:eastAsia="zh-CN"/>
              </w:rPr>
              <w:t>%。</w:t>
            </w:r>
          </w:p>
        </w:tc>
      </w:tr>
      <w:tr w14:paraId="277DF59C">
        <w:tblPrEx>
          <w:tblCellMar>
            <w:top w:w="0" w:type="dxa"/>
            <w:left w:w="108" w:type="dxa"/>
            <w:bottom w:w="0" w:type="dxa"/>
            <w:right w:w="108" w:type="dxa"/>
          </w:tblCellMar>
        </w:tblPrEx>
        <w:trPr>
          <w:trHeight w:val="10672"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AFAA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14:paraId="71B83F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14:paraId="2E3464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sz w:val="24"/>
              </w:rPr>
            </w:pPr>
          </w:p>
          <w:p w14:paraId="4F3BAF2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sz w:val="24"/>
              </w:rPr>
            </w:pPr>
            <w:r>
              <w:rPr>
                <w:rFonts w:hint="eastAsia" w:ascii="宋体" w:hAnsi="宋体" w:eastAsia="宋体"/>
                <w:sz w:val="24"/>
              </w:rPr>
              <w:t>预算绩效工作</w:t>
            </w:r>
          </w:p>
          <w:p w14:paraId="7B78743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color w:val="000000"/>
                <w:spacing w:val="0"/>
                <w:position w:val="0"/>
                <w:sz w:val="24"/>
                <w:u w:val="none"/>
                <w:lang w:eastAsia="zh-CN"/>
              </w:rPr>
            </w:pPr>
            <w:r>
              <w:rPr>
                <w:rFonts w:hint="eastAsia" w:ascii="宋体" w:hAnsi="宋体" w:eastAsia="宋体"/>
                <w:sz w:val="24"/>
              </w:rPr>
              <w:t>开展情况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56C70373">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（一）配合预算股、国库股，督促各预算单位在法定时间内按要求完成202</w:t>
            </w:r>
            <w:r>
              <w:rPr>
                <w:rFonts w:hint="eastAsia" w:ascii="方正仿宋_GBK" w:hAnsi="方正仿宋_GBK" w:eastAsia="方正仿宋_GBK" w:cs="方正仿宋_GBK"/>
                <w:color w:val="auto"/>
                <w:spacing w:val="0"/>
                <w:position w:val="0"/>
                <w:sz w:val="24"/>
                <w:szCs w:val="32"/>
                <w:highlight w:val="none"/>
                <w:u w:val="none"/>
                <w:lang w:val="en-US" w:eastAsia="zh-CN"/>
              </w:rPr>
              <w:t>5</w:t>
            </w:r>
            <w:r>
              <w:rPr>
                <w:rFonts w:hint="eastAsia" w:ascii="方正仿宋_GBK" w:hAnsi="方正仿宋_GBK" w:eastAsia="方正仿宋_GBK" w:cs="方正仿宋_GBK"/>
                <w:color w:val="auto"/>
                <w:spacing w:val="0"/>
                <w:position w:val="0"/>
                <w:sz w:val="24"/>
                <w:szCs w:val="32"/>
                <w:highlight w:val="none"/>
                <w:u w:val="none"/>
                <w:lang w:eastAsia="zh-CN"/>
              </w:rPr>
              <w:t>年预算公开、202</w:t>
            </w:r>
            <w:r>
              <w:rPr>
                <w:rFonts w:hint="eastAsia" w:ascii="方正仿宋_GBK" w:hAnsi="方正仿宋_GBK" w:eastAsia="方正仿宋_GBK" w:cs="方正仿宋_GBK"/>
                <w:color w:val="auto"/>
                <w:spacing w:val="0"/>
                <w:position w:val="0"/>
                <w:sz w:val="24"/>
                <w:szCs w:val="32"/>
                <w:highlight w:val="none"/>
                <w:u w:val="none"/>
                <w:lang w:val="en-US" w:eastAsia="zh-CN"/>
              </w:rPr>
              <w:t>4</w:t>
            </w:r>
            <w:r>
              <w:rPr>
                <w:rFonts w:hint="eastAsia" w:ascii="方正仿宋_GBK" w:hAnsi="方正仿宋_GBK" w:eastAsia="方正仿宋_GBK" w:cs="方正仿宋_GBK"/>
                <w:color w:val="auto"/>
                <w:spacing w:val="0"/>
                <w:position w:val="0"/>
                <w:sz w:val="24"/>
                <w:szCs w:val="32"/>
                <w:highlight w:val="none"/>
                <w:u w:val="none"/>
                <w:lang w:eastAsia="zh-CN"/>
              </w:rPr>
              <w:t>年决算公开工作。</w:t>
            </w:r>
          </w:p>
          <w:p w14:paraId="49CDDD74">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二）稳步推进财政资金监管“清源行动”各阶段工作，进一步规范财政支出管理。转发财政资金监管“清源行动”2024年重点措施任务清单，明确各相关部门和各阶段工作任务，并严格按照2024年重点措施任务清单开展各阶段工作。全年共组织开展了2轮县级抽查检查工作，纳入监管台账20个问题、涉及资金143.49万元，已督促相关部门（单位）完成整改。与此同时，将财会监督融入财政资金监管“清源行动”，持续抓好地方财经纪律重点问题专项整治工作，进一步规范财政支出管理，提高财政资金使用效率。</w:t>
            </w:r>
          </w:p>
          <w:p w14:paraId="121DDEC7">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三）同步开展会计信息质量检查与“双随机、一公开”监管，着力规范预算单位财务行为。按照州财政局关于2024年度会计信息质量检查的相关工作要求，组织实施了1个乡镇、3个部门（单位）2023年会计质量财政检查。检查发现5个问题，下发整改通知书2份，相关部门和乡镇已按整改要求完成整改。</w:t>
            </w:r>
          </w:p>
          <w:p w14:paraId="6CF53B2C">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pacing w:val="0"/>
                <w:position w:val="0"/>
                <w:sz w:val="24"/>
                <w:szCs w:val="32"/>
                <w:highlight w:val="none"/>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四）抓实重点，全面落实预算单位预算绩效管理主体责任。积极参与开展全县预算单位2024年部门预算绩效目标编制工作，从源头管理抓起，实现年初部门预算绩效目标管理全覆盖；抓好2023年全县预算单位整体支出绩效及项目支出绩效自评，并委托中介机构开展部分预算单位整体支出及重点项目支出绩效财政评审；抓好2024年预算单位绩效目标运行监控。通过以上工作，将预算绩效管理贯穿于预算管理过程始终，全面落实预算单位主体责任。</w:t>
            </w:r>
          </w:p>
          <w:p w14:paraId="12C5CB8F">
            <w:pPr>
              <w:keepNext w:val="0"/>
              <w:keepLines w:val="0"/>
              <w:pageBreakBefore w:val="0"/>
              <w:widowControl w:val="0"/>
              <w:kinsoku/>
              <w:wordWrap/>
              <w:overflowPunct/>
              <w:topLinePunct w:val="0"/>
              <w:autoSpaceDE/>
              <w:autoSpaceDN/>
              <w:bidi w:val="0"/>
              <w:adjustRightInd/>
              <w:snapToGrid/>
              <w:spacing w:after="0" w:line="460" w:lineRule="exact"/>
              <w:ind w:left="0" w:leftChars="0" w:right="0" w:rightChars="0" w:firstLine="480" w:firstLineChars="200"/>
              <w:jc w:val="both"/>
              <w:textAlignment w:val="auto"/>
              <w:outlineLvl w:val="9"/>
              <w:rPr>
                <w:rFonts w:hint="eastAsia" w:ascii="宋体" w:hAnsi="宋体" w:cs="宋体"/>
                <w:color w:val="000000"/>
                <w:spacing w:val="0"/>
                <w:position w:val="0"/>
                <w:sz w:val="24"/>
                <w:u w:val="none"/>
                <w:lang w:eastAsia="zh-CN"/>
              </w:rPr>
            </w:pPr>
            <w:r>
              <w:rPr>
                <w:rFonts w:hint="eastAsia" w:ascii="方正仿宋_GBK" w:hAnsi="方正仿宋_GBK" w:eastAsia="方正仿宋_GBK" w:cs="方正仿宋_GBK"/>
                <w:color w:val="auto"/>
                <w:spacing w:val="0"/>
                <w:position w:val="0"/>
                <w:sz w:val="24"/>
                <w:szCs w:val="32"/>
                <w:highlight w:val="none"/>
                <w:u w:val="none"/>
                <w:lang w:eastAsia="zh-CN"/>
              </w:rPr>
              <w:t>（五）根据中共梁河县委巡察工作领导小组关于印发十二届县委第九轮、第十轮巡察发现问题移交县</w:t>
            </w:r>
            <w:bookmarkStart w:id="0" w:name="_GoBack"/>
            <w:bookmarkEnd w:id="0"/>
            <w:r>
              <w:rPr>
                <w:rFonts w:hint="eastAsia" w:ascii="方正仿宋_GBK" w:hAnsi="方正仿宋_GBK" w:eastAsia="方正仿宋_GBK" w:cs="方正仿宋_GBK"/>
                <w:color w:val="auto"/>
                <w:spacing w:val="0"/>
                <w:position w:val="0"/>
                <w:sz w:val="24"/>
                <w:szCs w:val="32"/>
                <w:highlight w:val="none"/>
                <w:u w:val="none"/>
                <w:lang w:eastAsia="zh-CN"/>
              </w:rPr>
              <w:t>财政局的相关通知及局党组工作要求，草拟第九轮、第十轮巡察发现问题移交整改工作方案报局党组并上报县纪委、监委，及时督促相关单位抓好整改落实。</w:t>
            </w:r>
          </w:p>
        </w:tc>
      </w:tr>
      <w:tr w14:paraId="05479F83">
        <w:tblPrEx>
          <w:tblCellMar>
            <w:top w:w="0" w:type="dxa"/>
            <w:left w:w="108" w:type="dxa"/>
            <w:bottom w:w="0" w:type="dxa"/>
            <w:right w:w="108" w:type="dxa"/>
          </w:tblCellMar>
        </w:tblPrEx>
        <w:trPr>
          <w:trHeight w:val="3079" w:hRule="exact"/>
        </w:trPr>
        <w:tc>
          <w:tcPr>
            <w:tcW w:w="224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46635D17">
            <w:pPr>
              <w:spacing w:before="0" w:after="0" w:line="1572" w:lineRule="exact"/>
              <w:ind w:firstLine="240" w:firstLineChars="100"/>
              <w:rPr>
                <w:rFonts w:ascii="宋体" w:hAnsi="宋体" w:cs="宋体"/>
                <w:color w:val="000000"/>
                <w:spacing w:val="0"/>
                <w:position w:val="0"/>
                <w:sz w:val="24"/>
                <w:u w:val="none"/>
              </w:rPr>
            </w:pPr>
            <w:r>
              <w:rPr>
                <w:rFonts w:ascii="宋体" w:hAnsi="宋体" w:cs="宋体"/>
                <w:color w:val="000000"/>
                <w:spacing w:val="0"/>
                <w:position w:val="0"/>
                <w:sz w:val="24"/>
                <w:u w:val="none"/>
              </w:rPr>
              <w:t>举借政府债务</w:t>
            </w:r>
            <w:r>
              <w:rPr>
                <w:rFonts w:hint="eastAsia" w:ascii="宋体" w:hAnsi="宋体" w:cs="宋体"/>
                <w:color w:val="000000"/>
                <w:spacing w:val="0"/>
                <w:position w:val="0"/>
                <w:sz w:val="24"/>
                <w:u w:val="none"/>
                <w:lang w:eastAsia="zh-CN"/>
              </w:rPr>
              <w:t>情况</w:t>
            </w:r>
          </w:p>
        </w:tc>
        <w:tc>
          <w:tcPr>
            <w:tcW w:w="852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14:paraId="6B138637">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200"/>
              <w:textAlignment w:val="auto"/>
            </w:pPr>
            <w:r>
              <w:rPr>
                <w:rFonts w:hint="eastAsia" w:ascii="方正仿宋_GBK" w:hAnsi="方正仿宋_GBK" w:eastAsia="方正仿宋_GBK" w:cs="方正仿宋_GBK"/>
                <w:color w:val="auto"/>
                <w:spacing w:val="0"/>
                <w:position w:val="0"/>
                <w:sz w:val="24"/>
                <w:szCs w:val="32"/>
                <w:u w:val="none"/>
                <w:lang w:eastAsia="zh-CN"/>
              </w:rPr>
              <w:t>经</w:t>
            </w:r>
            <w:r>
              <w:rPr>
                <w:rFonts w:hint="eastAsia" w:ascii="方正仿宋_GBK" w:hAnsi="方正仿宋_GBK" w:eastAsia="方正仿宋_GBK" w:cs="方正仿宋_GBK"/>
                <w:color w:val="auto"/>
                <w:spacing w:val="0"/>
                <w:position w:val="0"/>
                <w:sz w:val="24"/>
                <w:szCs w:val="32"/>
                <w:u w:val="none"/>
                <w:lang w:val="en-US" w:eastAsia="zh-CN"/>
              </w:rPr>
              <w:t>州财政局核定，并报经</w:t>
            </w:r>
            <w:r>
              <w:rPr>
                <w:rFonts w:hint="eastAsia" w:ascii="方正仿宋_GBK" w:hAnsi="方正仿宋_GBK" w:eastAsia="方正仿宋_GBK" w:cs="方正仿宋_GBK"/>
                <w:color w:val="auto"/>
                <w:spacing w:val="0"/>
                <w:position w:val="0"/>
                <w:sz w:val="24"/>
                <w:szCs w:val="32"/>
                <w:u w:val="none"/>
                <w:lang w:eastAsia="zh-CN"/>
              </w:rPr>
              <w:t>县人大常委会批准，梁河县2024年地方政府债务限额为</w:t>
            </w:r>
            <w:r>
              <w:rPr>
                <w:rFonts w:hint="eastAsia" w:ascii="方正仿宋_GBK" w:hAnsi="方正仿宋_GBK" w:eastAsia="方正仿宋_GBK" w:cs="方正仿宋_GBK"/>
                <w:color w:val="auto"/>
                <w:spacing w:val="0"/>
                <w:position w:val="0"/>
                <w:sz w:val="24"/>
                <w:szCs w:val="32"/>
                <w:u w:val="none"/>
                <w:lang w:val="en-US" w:eastAsia="zh-CN"/>
              </w:rPr>
              <w:t>290851</w:t>
            </w:r>
            <w:r>
              <w:rPr>
                <w:rFonts w:hint="eastAsia" w:ascii="方正仿宋_GBK" w:hAnsi="方正仿宋_GBK" w:eastAsia="方正仿宋_GBK" w:cs="方正仿宋_GBK"/>
                <w:color w:val="auto"/>
                <w:spacing w:val="0"/>
                <w:position w:val="0"/>
                <w:sz w:val="24"/>
                <w:szCs w:val="32"/>
                <w:u w:val="none"/>
                <w:lang w:eastAsia="zh-CN"/>
              </w:rPr>
              <w:t>万元，比202</w:t>
            </w:r>
            <w:r>
              <w:rPr>
                <w:rFonts w:hint="eastAsia" w:ascii="方正仿宋_GBK" w:hAnsi="方正仿宋_GBK" w:eastAsia="方正仿宋_GBK" w:cs="方正仿宋_GBK"/>
                <w:color w:val="auto"/>
                <w:spacing w:val="0"/>
                <w:position w:val="0"/>
                <w:sz w:val="24"/>
                <w:szCs w:val="32"/>
                <w:u w:val="none"/>
                <w:lang w:val="en-US" w:eastAsia="zh-CN"/>
              </w:rPr>
              <w:t>3</w:t>
            </w:r>
            <w:r>
              <w:rPr>
                <w:rFonts w:hint="eastAsia" w:ascii="方正仿宋_GBK" w:hAnsi="方正仿宋_GBK" w:eastAsia="方正仿宋_GBK" w:cs="方正仿宋_GBK"/>
                <w:color w:val="auto"/>
                <w:spacing w:val="0"/>
                <w:position w:val="0"/>
                <w:sz w:val="24"/>
                <w:szCs w:val="32"/>
                <w:u w:val="none"/>
                <w:lang w:eastAsia="zh-CN"/>
              </w:rPr>
              <w:t>年增加</w:t>
            </w:r>
            <w:r>
              <w:rPr>
                <w:rFonts w:hint="eastAsia" w:ascii="方正仿宋_GBK" w:hAnsi="方正仿宋_GBK" w:eastAsia="方正仿宋_GBK" w:cs="方正仿宋_GBK"/>
                <w:color w:val="auto"/>
                <w:spacing w:val="0"/>
                <w:position w:val="0"/>
                <w:sz w:val="24"/>
                <w:szCs w:val="32"/>
                <w:u w:val="none"/>
                <w:lang w:val="en-US" w:eastAsia="zh-CN"/>
              </w:rPr>
              <w:t>65400</w:t>
            </w:r>
            <w:r>
              <w:rPr>
                <w:rFonts w:hint="eastAsia" w:ascii="方正仿宋_GBK" w:hAnsi="方正仿宋_GBK" w:eastAsia="方正仿宋_GBK" w:cs="方正仿宋_GBK"/>
                <w:color w:val="auto"/>
                <w:spacing w:val="0"/>
                <w:position w:val="0"/>
                <w:sz w:val="24"/>
                <w:szCs w:val="32"/>
                <w:u w:val="none"/>
                <w:lang w:eastAsia="zh-CN"/>
              </w:rPr>
              <w:t>万元，</w:t>
            </w:r>
            <w:r>
              <w:rPr>
                <w:rFonts w:hint="eastAsia" w:ascii="方正仿宋_GBK" w:hAnsi="方正仿宋_GBK" w:eastAsia="方正仿宋_GBK" w:cs="方正仿宋_GBK"/>
                <w:color w:val="auto"/>
                <w:spacing w:val="0"/>
                <w:position w:val="0"/>
                <w:sz w:val="24"/>
                <w:szCs w:val="32"/>
                <w:u w:val="none"/>
                <w:lang w:val="en-US" w:eastAsia="zh-CN"/>
              </w:rPr>
              <w:t>其中：一般债务增加1700万元，专项债务新增63700万元</w:t>
            </w:r>
            <w:r>
              <w:rPr>
                <w:rFonts w:hint="eastAsia" w:ascii="方正仿宋_GBK" w:hAnsi="方正仿宋_GBK" w:eastAsia="方正仿宋_GBK" w:cs="方正仿宋_GBK"/>
                <w:color w:val="auto"/>
                <w:spacing w:val="0"/>
                <w:position w:val="0"/>
                <w:sz w:val="24"/>
                <w:szCs w:val="32"/>
                <w:u w:val="none"/>
                <w:lang w:eastAsia="zh-CN"/>
              </w:rPr>
              <w:t>。2024年，梁河县收到政府置换债券资金65400万元，</w:t>
            </w:r>
            <w:r>
              <w:rPr>
                <w:rFonts w:hint="eastAsia" w:ascii="方正仿宋_GBK" w:hAnsi="方正仿宋_GBK" w:eastAsia="方正仿宋_GBK" w:cs="方正仿宋_GBK"/>
                <w:color w:val="auto"/>
                <w:spacing w:val="0"/>
                <w:position w:val="0"/>
                <w:sz w:val="24"/>
                <w:szCs w:val="32"/>
                <w:u w:val="none"/>
                <w:lang w:val="en-US" w:eastAsia="zh-CN"/>
              </w:rPr>
              <w:t>用于置换隐性债务</w:t>
            </w:r>
            <w:r>
              <w:rPr>
                <w:rFonts w:hint="eastAsia" w:ascii="方正仿宋_GBK" w:hAnsi="方正仿宋_GBK" w:eastAsia="方正仿宋_GBK" w:cs="方正仿宋_GBK"/>
                <w:color w:val="auto"/>
                <w:spacing w:val="0"/>
                <w:position w:val="0"/>
                <w:sz w:val="24"/>
                <w:szCs w:val="32"/>
                <w:u w:val="none"/>
                <w:lang w:eastAsia="zh-CN"/>
              </w:rPr>
              <w:t>；</w:t>
            </w:r>
            <w:r>
              <w:rPr>
                <w:rFonts w:hint="eastAsia" w:ascii="方正仿宋_GBK" w:hAnsi="方正仿宋_GBK" w:eastAsia="方正仿宋_GBK" w:cs="方正仿宋_GBK"/>
                <w:color w:val="auto"/>
                <w:spacing w:val="0"/>
                <w:position w:val="0"/>
                <w:sz w:val="24"/>
                <w:szCs w:val="32"/>
                <w:u w:val="none"/>
                <w:lang w:val="en-US" w:eastAsia="zh-CN"/>
              </w:rPr>
              <w:t>收到</w:t>
            </w:r>
            <w:r>
              <w:rPr>
                <w:rFonts w:hint="eastAsia" w:ascii="方正仿宋_GBK" w:hAnsi="方正仿宋_GBK" w:eastAsia="方正仿宋_GBK" w:cs="方正仿宋_GBK"/>
                <w:color w:val="auto"/>
                <w:spacing w:val="0"/>
                <w:position w:val="0"/>
                <w:sz w:val="24"/>
                <w:szCs w:val="32"/>
                <w:u w:val="none"/>
                <w:lang w:eastAsia="zh-CN"/>
              </w:rPr>
              <w:t>再融资债券资金14970万元（其中：一般债券4170万元、专项债券10800万元）。梁河县2024年末政府性债务余额为</w:t>
            </w:r>
            <w:r>
              <w:rPr>
                <w:rFonts w:hint="eastAsia" w:ascii="方正仿宋_GBK" w:hAnsi="方正仿宋_GBK" w:eastAsia="方正仿宋_GBK" w:cs="方正仿宋_GBK"/>
                <w:color w:val="auto"/>
                <w:spacing w:val="0"/>
                <w:position w:val="0"/>
                <w:sz w:val="24"/>
                <w:szCs w:val="32"/>
                <w:u w:val="none"/>
                <w:lang w:val="en-US" w:eastAsia="zh-CN"/>
              </w:rPr>
              <w:t>280098</w:t>
            </w:r>
            <w:r>
              <w:rPr>
                <w:rFonts w:hint="eastAsia" w:ascii="方正仿宋_GBK" w:hAnsi="方正仿宋_GBK" w:eastAsia="方正仿宋_GBK" w:cs="方正仿宋_GBK"/>
                <w:color w:val="auto"/>
                <w:spacing w:val="0"/>
                <w:position w:val="0"/>
                <w:sz w:val="24"/>
                <w:szCs w:val="32"/>
                <w:u w:val="none"/>
                <w:lang w:eastAsia="zh-CN"/>
              </w:rPr>
              <w:t>万元，低于债务限额</w:t>
            </w:r>
            <w:r>
              <w:rPr>
                <w:rFonts w:hint="eastAsia" w:ascii="方正仿宋_GBK" w:hAnsi="方正仿宋_GBK" w:eastAsia="方正仿宋_GBK" w:cs="方正仿宋_GBK"/>
                <w:color w:val="auto"/>
                <w:spacing w:val="0"/>
                <w:position w:val="0"/>
                <w:sz w:val="24"/>
                <w:szCs w:val="32"/>
                <w:u w:val="none"/>
                <w:lang w:val="en-US" w:eastAsia="zh-CN"/>
              </w:rPr>
              <w:t>290851</w:t>
            </w:r>
            <w:r>
              <w:rPr>
                <w:rFonts w:hint="eastAsia" w:ascii="方正仿宋_GBK" w:hAnsi="方正仿宋_GBK" w:eastAsia="方正仿宋_GBK" w:cs="方正仿宋_GBK"/>
                <w:color w:val="auto"/>
                <w:spacing w:val="0"/>
                <w:position w:val="0"/>
                <w:sz w:val="24"/>
                <w:szCs w:val="32"/>
                <w:u w:val="none"/>
                <w:lang w:eastAsia="zh-CN"/>
              </w:rPr>
              <w:t>万元，未超债务限额。</w:t>
            </w:r>
          </w:p>
        </w:tc>
      </w:tr>
    </w:tbl>
    <w:p w14:paraId="413F6204">
      <w:pPr>
        <w:spacing w:before="0" w:after="0" w:line="519" w:lineRule="exact"/>
        <w:ind w:left="3372" w:firstLine="0"/>
        <w:jc w:val="left"/>
        <w:rPr>
          <w:rFonts w:hint="eastAsia" w:ascii="方正小标宋简体" w:hAnsi="方正小标宋简体" w:eastAsia="方正小标宋简体" w:cs="方正小标宋简体"/>
          <w:b/>
          <w:bCs/>
          <w:color w:val="000000"/>
          <w:spacing w:val="0"/>
          <w:position w:val="0"/>
          <w:sz w:val="36"/>
          <w:u w:val="none"/>
        </w:rPr>
      </w:pPr>
    </w:p>
    <w:sectPr>
      <w:footerReference r:id="rId5" w:type="default"/>
      <w:type w:val="continuous"/>
      <w:pgSz w:w="11905" w:h="16838"/>
      <w:pgMar w:top="0" w:right="0" w:bottom="0" w:left="0" w:header="0" w:footer="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410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5667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65667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jFiNTYwZjE3MTRjYmZiNWQwZDU3ZGFkYmYyZDIifQ=="/>
  </w:docVars>
  <w:rsids>
    <w:rsidRoot w:val="00172A27"/>
    <w:rsid w:val="00325E2F"/>
    <w:rsid w:val="007F1C1F"/>
    <w:rsid w:val="010351AA"/>
    <w:rsid w:val="02132FF4"/>
    <w:rsid w:val="0C534E70"/>
    <w:rsid w:val="0F3D7500"/>
    <w:rsid w:val="12896F34"/>
    <w:rsid w:val="13684DF4"/>
    <w:rsid w:val="141D1C1C"/>
    <w:rsid w:val="16C84A74"/>
    <w:rsid w:val="16F8599B"/>
    <w:rsid w:val="1C182104"/>
    <w:rsid w:val="24424409"/>
    <w:rsid w:val="26590D78"/>
    <w:rsid w:val="282F4C20"/>
    <w:rsid w:val="2DF235EE"/>
    <w:rsid w:val="34FE3153"/>
    <w:rsid w:val="35FA7EA7"/>
    <w:rsid w:val="366B088E"/>
    <w:rsid w:val="3BEC4E01"/>
    <w:rsid w:val="428658CF"/>
    <w:rsid w:val="45EC5D0D"/>
    <w:rsid w:val="47E07EFE"/>
    <w:rsid w:val="49B335E7"/>
    <w:rsid w:val="4F5202FD"/>
    <w:rsid w:val="53E644AE"/>
    <w:rsid w:val="547040C3"/>
    <w:rsid w:val="54B84468"/>
    <w:rsid w:val="58177147"/>
    <w:rsid w:val="5C3D4FAC"/>
    <w:rsid w:val="5DDB3715"/>
    <w:rsid w:val="61F035B1"/>
    <w:rsid w:val="65C534AB"/>
    <w:rsid w:val="6FA11AE9"/>
    <w:rsid w:val="6FF70753"/>
    <w:rsid w:val="73BF66C3"/>
    <w:rsid w:val="76CF22BD"/>
    <w:rsid w:val="77B34BE1"/>
    <w:rsid w:val="78245E7E"/>
    <w:rsid w:val="7B13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0" w:type="dxa"/>
        <w:bottom w:w="0" w:type="dxa"/>
        <w:right w:w="0"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character" w:styleId="6">
    <w:name w:val="Hyperlink"/>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1310</Words>
  <Characters>1472</Characters>
  <Lines>0</Lines>
  <Paragraphs>0</Paragraphs>
  <TotalTime>0</TotalTime>
  <ScaleCrop>false</ScaleCrop>
  <LinksUpToDate>false</LinksUpToDate>
  <CharactersWithSpaces>1476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2020-08-31T14:48:00Z</dcterms:created>
  <dc:creator>jxpjk</dc:creator>
  <cp:lastModifiedBy>财政</cp:lastModifiedBy>
  <cp:lastPrinted>2020-08-31T17:56:00Z</cp:lastPrinted>
  <dcterms:modified xsi:type="dcterms:W3CDTF">2025-09-29T03:34:34Z</dcterms:modified>
  <dc:title>重点工作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5183D8B4295F4432B4CF02BEFACB9550</vt:lpwstr>
  </property>
</Properties>
</file>