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verflowPunct w:val="0"/>
        <w:topLinePunct/>
        <w:adjustRightInd w:val="0"/>
        <w:spacing w:line="590" w:lineRule="exact"/>
        <w:ind w:firstLine="0" w:firstLineChars="0"/>
        <w:jc w:val="both"/>
        <w:rPr>
          <w:rFonts w:ascii="黑体" w:hAnsi="黑体" w:eastAsia="黑体" w:cs="方正黑体_GBK"/>
          <w:snapToGrid w:val="0"/>
          <w:color w:val="000000"/>
          <w:kern w:val="32"/>
          <w:lang w:val="en-US" w:bidi="ar"/>
        </w:rPr>
      </w:pPr>
      <w:r>
        <w:rPr>
          <w:rFonts w:hint="eastAsia" w:ascii="黑体" w:hAnsi="黑体" w:eastAsia="黑体" w:cs="方正黑体_GBK"/>
          <w:snapToGrid w:val="0"/>
          <w:color w:val="000000"/>
          <w:kern w:val="32"/>
          <w:lang w:val="en-US" w:bidi="ar"/>
        </w:rPr>
        <w:t>附件2</w:t>
      </w:r>
    </w:p>
    <w:p>
      <w:pPr>
        <w:pStyle w:val="4"/>
        <w:overflowPunct w:val="0"/>
        <w:topLinePunct/>
        <w:adjustRightInd w:val="0"/>
        <w:spacing w:line="590" w:lineRule="exact"/>
        <w:ind w:firstLine="0" w:firstLineChars="0"/>
        <w:jc w:val="both"/>
        <w:rPr>
          <w:rFonts w:ascii="宋体" w:hAnsi="宋体" w:eastAsia="仿宋_GB2312" w:cs="方正黑体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  <w:lang w:val="en-US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  <w:lang w:val="en-US" w:bidi="ar"/>
        </w:rPr>
        <w:t>企业数据填报“一件事”办事指南</w:t>
      </w:r>
    </w:p>
    <w:bookmarkEnd w:id="0"/>
    <w:p>
      <w:pPr>
        <w:pStyle w:val="4"/>
        <w:overflowPunct w:val="0"/>
        <w:topLinePunct/>
        <w:adjustRightInd w:val="0"/>
        <w:spacing w:line="590" w:lineRule="exact"/>
        <w:ind w:firstLine="0" w:firstLineChars="0"/>
        <w:jc w:val="both"/>
        <w:rPr>
          <w:rFonts w:ascii="宋体" w:hAnsi="宋体" w:eastAsia="仿宋_GB2312" w:cs="方正小标宋_GBK"/>
          <w:snapToGrid w:val="0"/>
          <w:color w:val="000000"/>
          <w:kern w:val="32"/>
          <w:szCs w:val="44"/>
          <w:lang w:val="en-US" w:bidi="ar"/>
        </w:rPr>
      </w:pP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黑体" w:hAnsi="黑体" w:eastAsia="黑体" w:cs="方正黑体_GBK"/>
          <w:snapToGrid w:val="0"/>
          <w:color w:val="000000"/>
          <w:kern w:val="32"/>
          <w:lang w:val="en-US" w:bidi="ar"/>
        </w:rPr>
      </w:pPr>
      <w:r>
        <w:rPr>
          <w:rFonts w:hint="eastAsia" w:ascii="黑体" w:hAnsi="黑体" w:eastAsia="黑体" w:cs="方正黑体_GBK"/>
          <w:snapToGrid w:val="0"/>
          <w:color w:val="000000"/>
          <w:kern w:val="32"/>
          <w:lang w:val="en-US" w:bidi="ar"/>
        </w:rPr>
        <w:t>一、基本信息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/>
          <w:snapToGrid w:val="0"/>
          <w:color w:val="000000"/>
          <w:kern w:val="32"/>
          <w:lang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1．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事项名称</w:t>
      </w:r>
      <w:r>
        <w:rPr>
          <w:rFonts w:hint="eastAsia" w:ascii="楷体_GB2312" w:hAnsi="宋体" w:eastAsia="楷体_GB2312" w:cs="宋体"/>
          <w:snapToGrid w:val="0"/>
          <w:color w:val="000000"/>
          <w:kern w:val="32"/>
          <w:lang w:val="en-US" w:bidi="ar"/>
        </w:rPr>
        <w:t>：</w:t>
      </w:r>
      <w:r>
        <w:rPr>
          <w:rFonts w:hint="eastAsia" w:ascii="宋体" w:hAnsi="宋体" w:eastAsia="仿宋_GB2312"/>
          <w:snapToGrid w:val="0"/>
          <w:color w:val="000000"/>
          <w:kern w:val="32"/>
          <w:lang w:bidi="ar"/>
        </w:rPr>
        <w:t>企业数据填报“一件事”办事指南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 w:cs="方正黑体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2．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服务对象：</w:t>
      </w: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企业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3．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适用范围：</w:t>
      </w: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企业数据填报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 w:cs="方正黑体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4．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办理形式：</w:t>
      </w: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网上办理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5．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法定办结时限：</w:t>
      </w: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无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 w:cs="方正楷体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6．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承诺审批（办结）时限：</w:t>
      </w: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无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7．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审批（服务）层级：</w:t>
      </w: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省、州（市）、县（市、区）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8</w:t>
      </w:r>
      <w:r>
        <w:rPr>
          <w:rFonts w:hint="eastAsia" w:ascii="宋体" w:hAnsi="宋体" w:eastAsia="仿宋_GB2312" w:cs="方正楷体_GBK"/>
          <w:snapToGrid w:val="0"/>
          <w:color w:val="000000"/>
          <w:kern w:val="32"/>
          <w:lang w:val="en-US" w:bidi="ar"/>
        </w:rPr>
        <w:t>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是否收费：</w:t>
      </w: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否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9．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中介服务事项名称：</w:t>
      </w: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无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 w:cs="方正楷体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10．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是否需要勘验、组织听证、专家评审、检测：</w:t>
      </w: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否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 w:cs="方正仿宋_GBK"/>
          <w:snapToGrid w:val="0"/>
          <w:color w:val="000000"/>
          <w:spacing w:val="-4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11．</w:t>
      </w:r>
      <w:r>
        <w:rPr>
          <w:rFonts w:hint="eastAsia" w:ascii="楷体_GB2312" w:hAnsi="宋体" w:eastAsia="楷体_GB2312" w:cs="方正楷体_GBK"/>
          <w:snapToGrid w:val="0"/>
          <w:color w:val="000000"/>
          <w:spacing w:val="-4"/>
          <w:kern w:val="32"/>
          <w:lang w:val="en-US" w:bidi="ar"/>
        </w:rPr>
        <w:t>审批机关是否委托服务机构开展技术性服务（名称）：</w:t>
      </w:r>
      <w:r>
        <w:rPr>
          <w:rFonts w:hint="eastAsia" w:ascii="宋体" w:hAnsi="宋体" w:eastAsia="仿宋_GB2312" w:cs="方正仿宋_GBK"/>
          <w:snapToGrid w:val="0"/>
          <w:color w:val="000000"/>
          <w:spacing w:val="-4"/>
          <w:kern w:val="32"/>
          <w:lang w:val="en-US" w:bidi="ar"/>
        </w:rPr>
        <w:t>否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 w:cs="方正楷体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12</w:t>
      </w:r>
      <w:r>
        <w:rPr>
          <w:rFonts w:hint="eastAsia" w:ascii="宋体" w:hAnsi="宋体" w:eastAsia="仿宋_GB2312" w:cs="方正楷体_GBK"/>
          <w:snapToGrid w:val="0"/>
          <w:color w:val="000000"/>
          <w:kern w:val="32"/>
          <w:lang w:val="en-US" w:bidi="ar"/>
        </w:rPr>
        <w:t>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是否实行告知承诺办理：</w:t>
      </w: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否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13．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是否实行容缺办理：</w:t>
      </w: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否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楷体_GB2312" w:hAnsi="宋体" w:eastAsia="楷体_GB2312" w:cs="方正楷体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14．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办理时间：</w:t>
      </w:r>
    </w:p>
    <w:p>
      <w:pPr>
        <w:pStyle w:val="4"/>
        <w:overflowPunct w:val="0"/>
        <w:topLinePunct/>
        <w:adjustRightInd w:val="0"/>
        <w:spacing w:line="590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楷体_GBK"/>
          <w:snapToGrid w:val="0"/>
          <w:color w:val="000000"/>
          <w:kern w:val="32"/>
          <w:lang w:val="en-US" w:bidi="ar"/>
        </w:rPr>
        <w:t>（1）</w:t>
      </w: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市场监管年报、工业产品获证企业年报、社保信息、海关管理企业年报、外商投资企业（机构）年报填报时间为每年1月1日至6月30日；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（2）统计年报报表填报时间为每年1月1日至8月31日；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（3）年度财务报表填报时间为全年。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15</w:t>
      </w:r>
      <w:r>
        <w:rPr>
          <w:rFonts w:hint="eastAsia" w:ascii="宋体" w:hAnsi="宋体" w:eastAsia="仿宋_GB2312" w:cs="方正楷体_GBK"/>
          <w:snapToGrid w:val="0"/>
          <w:color w:val="000000"/>
          <w:kern w:val="32"/>
          <w:lang w:val="en-US" w:bidi="ar"/>
        </w:rPr>
        <w:t>．</w:t>
      </w:r>
      <w:r>
        <w:rPr>
          <w:rFonts w:hint="eastAsia" w:ascii="楷体_GB2312" w:hAnsi="宋体" w:eastAsia="楷体_GB2312" w:cs="方正楷体_GBK"/>
          <w:snapToGrid w:val="0"/>
          <w:color w:val="000000"/>
          <w:kern w:val="32"/>
          <w:lang w:val="en-US" w:bidi="ar"/>
        </w:rPr>
        <w:t>办理地址：</w:t>
      </w:r>
      <w:r>
        <w:rPr>
          <w:rFonts w:hint="eastAsia" w:ascii="宋体" w:hAnsi="宋体" w:eastAsia="仿宋_GB2312" w:cs="宋体"/>
          <w:snapToGrid w:val="0"/>
          <w:color w:val="000000"/>
          <w:kern w:val="32"/>
          <w:lang w:val="en-US" w:bidi="ar"/>
        </w:rPr>
        <w:t>https://zwfw.yn.gov.cn/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黑体" w:hAnsi="黑体" w:eastAsia="黑体" w:cs="方正黑体_GBK"/>
          <w:snapToGrid w:val="0"/>
          <w:color w:val="000000"/>
          <w:kern w:val="32"/>
          <w:lang w:val="en-US" w:bidi="ar"/>
        </w:rPr>
      </w:pPr>
      <w:r>
        <w:rPr>
          <w:rFonts w:hint="eastAsia" w:ascii="黑体" w:hAnsi="黑体" w:eastAsia="黑体" w:cs="方正黑体_GBK"/>
          <w:snapToGrid w:val="0"/>
          <w:color w:val="000000"/>
          <w:kern w:val="32"/>
          <w:lang w:val="en-US" w:bidi="ar"/>
        </w:rPr>
        <w:t>二、设定和实施依据</w:t>
      </w:r>
      <w:r>
        <w:rPr>
          <w:rFonts w:hint="eastAsia" w:ascii="黑体" w:hAnsi="黑体" w:eastAsia="黑体" w:cs="方正黑体_GBK"/>
          <w:snapToGrid w:val="0"/>
          <w:color w:val="000000"/>
          <w:kern w:val="32"/>
          <w:lang w:val="en-US" w:bidi="ar"/>
        </w:rPr>
        <w:tab/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1.《中华人民共和国税收征收管理法》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2.《中华人民共和国统计法》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3.《中华人民共和国企业所得税法》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4.《中华人民共和国社会保险法》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5.《中华人民共和国外商投资法》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6.《中华人民共和国工业产品生产许可证管理条例》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7.《中华人民共和国统计法实施条例》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8.《企业信息公示暂行条例》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9.《个体工商户年度报告暂行办法》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10.《农民专业合作社年度报告公示暂行办法》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11.《中华人民共和国海关企业信用管理办法》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黑体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12.《外商投资信息报告办法》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黑体" w:hAnsi="黑体" w:eastAsia="黑体" w:cs="方正黑体_GBK"/>
          <w:snapToGrid w:val="0"/>
          <w:color w:val="000000"/>
          <w:kern w:val="32"/>
          <w:lang w:val="en-US" w:bidi="ar"/>
        </w:rPr>
      </w:pPr>
      <w:r>
        <w:rPr>
          <w:rFonts w:hint="eastAsia" w:ascii="黑体" w:hAnsi="黑体" w:eastAsia="黑体" w:cs="方正黑体_GBK"/>
          <w:snapToGrid w:val="0"/>
          <w:color w:val="000000"/>
          <w:kern w:val="32"/>
          <w:lang w:val="en-US" w:bidi="ar"/>
        </w:rPr>
        <w:t>三、办理条件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无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黑体" w:hAnsi="黑体" w:eastAsia="黑体" w:cs="方正黑体_GBK"/>
          <w:snapToGrid w:val="0"/>
          <w:color w:val="000000"/>
          <w:kern w:val="32"/>
          <w:lang w:val="en-US" w:bidi="ar"/>
        </w:rPr>
      </w:pPr>
      <w:r>
        <w:rPr>
          <w:rFonts w:hint="eastAsia" w:ascii="黑体" w:hAnsi="黑体" w:eastAsia="黑体" w:cs="方正黑体_GBK"/>
          <w:snapToGrid w:val="0"/>
          <w:color w:val="000000"/>
          <w:kern w:val="32"/>
          <w:lang w:val="en-US" w:bidi="ar"/>
        </w:rPr>
        <w:t>四、申请材料</w:t>
      </w:r>
    </w:p>
    <w:p>
      <w:pPr>
        <w:pStyle w:val="4"/>
        <w:overflowPunct w:val="0"/>
        <w:topLinePunct/>
        <w:adjustRightInd w:val="0"/>
        <w:spacing w:line="592" w:lineRule="exact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 w:cs="方正仿宋_GBK"/>
          <w:snapToGrid w:val="0"/>
          <w:color w:val="000000"/>
          <w:kern w:val="32"/>
          <w:lang w:val="en-US" w:bidi="ar"/>
        </w:rPr>
        <w:t>无</w:t>
      </w:r>
    </w:p>
    <w:p/>
    <w:sectPr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42057"/>
    <w:rsid w:val="27080A83"/>
    <w:rsid w:val="2A5F23F1"/>
    <w:rsid w:val="2C2D04D5"/>
    <w:rsid w:val="2EA84835"/>
    <w:rsid w:val="38442057"/>
    <w:rsid w:val="417D6179"/>
    <w:rsid w:val="4F98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空2字"/>
    <w:basedOn w:val="1"/>
    <w:qFormat/>
    <w:uiPriority w:val="0"/>
    <w:pPr>
      <w:snapToGrid w:val="0"/>
      <w:spacing w:line="560" w:lineRule="exact"/>
      <w:ind w:firstLine="640" w:firstLineChars="200"/>
      <w:jc w:val="left"/>
    </w:pPr>
    <w:rPr>
      <w:rFonts w:ascii="仿宋_GB2312" w:hAnsi="仿宋_GB2312" w:cs="仿宋_GB2312"/>
      <w:sz w:val="32"/>
      <w:szCs w:val="32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2024-09-12T07:53:00Z</dcterms:created>
  <dc:creator>解媛幈【办公室】</dc:creator>
  <cp:lastModifiedBy>解媛幈【办公室】</cp:lastModifiedBy>
  <dcterms:modified xsi:type="dcterms:W3CDTF">2024-09-12T07:53:46Z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F0C143E0D8974716AC0C53BEF26EFF39</vt:lpwstr>
  </property>
</Properties>
</file>