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19" w:lineRule="exact"/>
        <w:ind w:firstLine="2891" w:firstLineChars="800"/>
        <w:jc w:val="left"/>
        <w:rPr>
          <w:rFonts w:hint="eastAsia" w:ascii="方正小标宋简体" w:hAnsi="方正小标宋简体" w:eastAsia="方正小标宋简体" w:cs="方正小标宋简体"/>
          <w:b/>
          <w:bCs/>
          <w:color w:val="000000"/>
          <w:spacing w:val="0"/>
          <w:position w:val="0"/>
          <w:sz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center"/>
        <w:textAlignment w:val="auto"/>
        <w:outlineLvl w:val="9"/>
        <w:rPr>
          <w:rFonts w:hint="eastAsia" w:ascii="宋体" w:hAnsi="宋体" w:cs="宋体"/>
          <w:color w:val="000000"/>
          <w:spacing w:val="0"/>
          <w:position w:val="0"/>
          <w:sz w:val="24"/>
          <w:u w:val="none"/>
          <w:lang w:eastAsia="zh-CN"/>
        </w:rPr>
      </w:pPr>
      <w:r>
        <w:rPr>
          <w:rFonts w:hint="eastAsia" w:ascii="方正小标宋简体" w:hAnsi="方正小标宋简体" w:eastAsia="方正小标宋简体" w:cs="方正小标宋简体"/>
          <w:b/>
          <w:bCs/>
          <w:color w:val="000000"/>
          <w:spacing w:val="0"/>
          <w:position w:val="0"/>
          <w:sz w:val="36"/>
          <w:u w:val="none"/>
          <w:lang w:val="en-US" w:eastAsia="zh-CN"/>
        </w:rPr>
        <w:t>2021年</w:t>
      </w:r>
      <w:r>
        <w:rPr>
          <w:rFonts w:hint="eastAsia" w:ascii="方正小标宋简体" w:hAnsi="方正小标宋简体" w:eastAsia="方正小标宋简体" w:cs="方正小标宋简体"/>
          <w:b/>
          <w:bCs/>
          <w:color w:val="000000"/>
          <w:spacing w:val="0"/>
          <w:position w:val="0"/>
          <w:sz w:val="36"/>
          <w:u w:val="none"/>
        </w:rPr>
        <w:t>重点工作情况解释说明汇总表</w:t>
      </w:r>
    </w:p>
    <w:tbl>
      <w:tblPr>
        <w:tblStyle w:val="3"/>
        <w:tblpPr w:leftFromText="180" w:rightFromText="180" w:vertAnchor="page" w:horzAnchor="page" w:tblpX="657" w:tblpY="1723"/>
        <w:tblW w:w="10763" w:type="dxa"/>
        <w:tblInd w:w="0" w:type="dxa"/>
        <w:tblLayout w:type="fixed"/>
        <w:tblCellMar>
          <w:top w:w="0" w:type="dxa"/>
          <w:left w:w="108" w:type="dxa"/>
          <w:bottom w:w="0" w:type="dxa"/>
          <w:right w:w="108" w:type="dxa"/>
        </w:tblCellMar>
      </w:tblPr>
      <w:tblGrid>
        <w:gridCol w:w="2242"/>
        <w:gridCol w:w="8521"/>
      </w:tblGrid>
      <w:tr>
        <w:tblPrEx>
          <w:tblCellMar>
            <w:top w:w="0" w:type="dxa"/>
            <w:left w:w="108" w:type="dxa"/>
            <w:bottom w:w="0" w:type="dxa"/>
            <w:right w:w="108" w:type="dxa"/>
          </w:tblCellMar>
        </w:tblPrEx>
        <w:trPr>
          <w:trHeight w:val="487"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重点工作</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20</w:t>
            </w:r>
            <w:r>
              <w:rPr>
                <w:rFonts w:hint="eastAsia" w:ascii="宋体" w:hAnsi="宋体" w:cs="宋体"/>
                <w:color w:val="000000"/>
                <w:spacing w:val="0"/>
                <w:position w:val="0"/>
                <w:sz w:val="24"/>
                <w:u w:val="none"/>
                <w:lang w:val="en-US" w:eastAsia="zh-CN"/>
              </w:rPr>
              <w:t>21</w:t>
            </w:r>
            <w:r>
              <w:rPr>
                <w:rFonts w:hint="eastAsia" w:ascii="宋体" w:hAnsi="宋体" w:cs="宋体"/>
                <w:color w:val="000000"/>
                <w:spacing w:val="0"/>
                <w:position w:val="0"/>
                <w:sz w:val="24"/>
                <w:u w:val="none"/>
                <w:lang w:eastAsia="zh-CN"/>
              </w:rPr>
              <w:t>年工作重点及工作情况</w:t>
            </w:r>
          </w:p>
        </w:tc>
      </w:tr>
      <w:tr>
        <w:tblPrEx>
          <w:tblCellMar>
            <w:top w:w="0" w:type="dxa"/>
            <w:left w:w="108" w:type="dxa"/>
            <w:bottom w:w="0" w:type="dxa"/>
            <w:right w:w="108" w:type="dxa"/>
          </w:tblCellMar>
        </w:tblPrEx>
        <w:trPr>
          <w:trHeight w:val="3278"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转移支付安排情况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pacing w:val="0"/>
                <w:position w:val="0"/>
                <w:sz w:val="24"/>
                <w:szCs w:val="32"/>
                <w:highlight w:val="none"/>
                <w:u w:val="none"/>
                <w:lang w:eastAsia="zh-CN"/>
              </w:rPr>
            </w:pPr>
            <w:r>
              <w:rPr>
                <w:rFonts w:hint="default" w:ascii="方正仿宋_GBK" w:hAnsi="方正仿宋_GBK" w:eastAsia="方正仿宋_GBK" w:cs="方正仿宋_GBK"/>
                <w:color w:val="000000"/>
                <w:spacing w:val="0"/>
                <w:position w:val="0"/>
                <w:sz w:val="24"/>
                <w:szCs w:val="32"/>
                <w:highlight w:val="none"/>
                <w:u w:val="none"/>
                <w:lang w:val="en-US" w:eastAsia="zh-CN"/>
              </w:rPr>
              <w:t>202</w:t>
            </w:r>
            <w:r>
              <w:rPr>
                <w:rFonts w:hint="eastAsia" w:ascii="方正仿宋_GBK" w:hAnsi="方正仿宋_GBK" w:eastAsia="方正仿宋_GBK" w:cs="方正仿宋_GBK"/>
                <w:color w:val="000000"/>
                <w:spacing w:val="0"/>
                <w:position w:val="0"/>
                <w:sz w:val="24"/>
                <w:szCs w:val="32"/>
                <w:highlight w:val="none"/>
                <w:u w:val="none"/>
                <w:lang w:val="en-US" w:eastAsia="zh-CN"/>
              </w:rPr>
              <w:t>1</w:t>
            </w:r>
            <w:r>
              <w:rPr>
                <w:rFonts w:hint="default" w:ascii="方正仿宋_GBK" w:hAnsi="方正仿宋_GBK" w:eastAsia="方正仿宋_GBK" w:cs="方正仿宋_GBK"/>
                <w:color w:val="000000"/>
                <w:spacing w:val="0"/>
                <w:position w:val="0"/>
                <w:sz w:val="24"/>
                <w:szCs w:val="32"/>
                <w:highlight w:val="none"/>
                <w:u w:val="none"/>
                <w:lang w:val="en-US" w:eastAsia="zh-CN"/>
              </w:rPr>
              <w:t>年，梁河县共收到上级补助收入</w:t>
            </w:r>
            <w:r>
              <w:rPr>
                <w:rFonts w:hint="eastAsia" w:ascii="方正仿宋_GBK" w:hAnsi="方正仿宋_GBK" w:eastAsia="方正仿宋_GBK" w:cs="方正仿宋_GBK"/>
                <w:color w:val="000000"/>
                <w:spacing w:val="0"/>
                <w:position w:val="0"/>
                <w:sz w:val="24"/>
                <w:szCs w:val="32"/>
                <w:highlight w:val="none"/>
                <w:u w:val="none"/>
                <w:lang w:val="en-US" w:eastAsia="zh-CN"/>
              </w:rPr>
              <w:t>142101</w:t>
            </w:r>
            <w:r>
              <w:rPr>
                <w:rFonts w:hint="default" w:ascii="方正仿宋_GBK" w:hAnsi="方正仿宋_GBK" w:eastAsia="方正仿宋_GBK" w:cs="方正仿宋_GBK"/>
                <w:color w:val="000000"/>
                <w:spacing w:val="0"/>
                <w:position w:val="0"/>
                <w:sz w:val="24"/>
                <w:szCs w:val="32"/>
                <w:highlight w:val="none"/>
                <w:u w:val="none"/>
                <w:lang w:val="en-US" w:eastAsia="zh-CN"/>
              </w:rPr>
              <w:t>万元，其中：一般性转移支付收入12</w:t>
            </w:r>
            <w:r>
              <w:rPr>
                <w:rFonts w:hint="eastAsia" w:ascii="方正仿宋_GBK" w:hAnsi="方正仿宋_GBK" w:eastAsia="方正仿宋_GBK" w:cs="方正仿宋_GBK"/>
                <w:color w:val="000000"/>
                <w:spacing w:val="0"/>
                <w:position w:val="0"/>
                <w:sz w:val="24"/>
                <w:szCs w:val="32"/>
                <w:highlight w:val="none"/>
                <w:u w:val="none"/>
                <w:lang w:val="en-US" w:eastAsia="zh-CN"/>
              </w:rPr>
              <w:t>1332</w:t>
            </w:r>
            <w:r>
              <w:rPr>
                <w:rFonts w:hint="default" w:ascii="方正仿宋_GBK" w:hAnsi="方正仿宋_GBK" w:eastAsia="方正仿宋_GBK" w:cs="方正仿宋_GBK"/>
                <w:color w:val="000000"/>
                <w:spacing w:val="0"/>
                <w:position w:val="0"/>
                <w:sz w:val="24"/>
                <w:szCs w:val="32"/>
                <w:highlight w:val="none"/>
                <w:u w:val="none"/>
                <w:lang w:val="en-US" w:eastAsia="zh-CN"/>
              </w:rPr>
              <w:t>万元，增长</w:t>
            </w:r>
            <w:r>
              <w:rPr>
                <w:rFonts w:hint="eastAsia" w:ascii="方正仿宋_GBK" w:hAnsi="方正仿宋_GBK" w:eastAsia="方正仿宋_GBK" w:cs="方正仿宋_GBK"/>
                <w:color w:val="000000"/>
                <w:spacing w:val="0"/>
                <w:position w:val="0"/>
                <w:sz w:val="24"/>
                <w:szCs w:val="32"/>
                <w:highlight w:val="none"/>
                <w:u w:val="none"/>
                <w:lang w:val="en-US" w:eastAsia="zh-CN"/>
              </w:rPr>
              <w:t>0.07</w:t>
            </w:r>
            <w:r>
              <w:rPr>
                <w:rFonts w:hint="default" w:ascii="方正仿宋_GBK" w:hAnsi="方正仿宋_GBK" w:eastAsia="方正仿宋_GBK" w:cs="方正仿宋_GBK"/>
                <w:color w:val="000000"/>
                <w:spacing w:val="0"/>
                <w:position w:val="0"/>
                <w:sz w:val="24"/>
                <w:szCs w:val="32"/>
                <w:highlight w:val="none"/>
                <w:u w:val="none"/>
                <w:lang w:val="en-US" w:eastAsia="zh-CN"/>
              </w:rPr>
              <w:t>%，占转移支付收入比重</w:t>
            </w:r>
            <w:r>
              <w:rPr>
                <w:rFonts w:hint="eastAsia" w:ascii="方正仿宋_GBK" w:hAnsi="方正仿宋_GBK" w:eastAsia="方正仿宋_GBK" w:cs="方正仿宋_GBK"/>
                <w:color w:val="000000"/>
                <w:spacing w:val="0"/>
                <w:position w:val="0"/>
                <w:sz w:val="24"/>
                <w:szCs w:val="32"/>
                <w:highlight w:val="none"/>
                <w:u w:val="none"/>
                <w:lang w:val="en-US" w:eastAsia="zh-CN"/>
              </w:rPr>
              <w:t>85.38</w:t>
            </w:r>
            <w:r>
              <w:rPr>
                <w:rFonts w:hint="default" w:ascii="方正仿宋_GBK" w:hAnsi="方正仿宋_GBK" w:eastAsia="方正仿宋_GBK" w:cs="方正仿宋_GBK"/>
                <w:color w:val="000000"/>
                <w:spacing w:val="0"/>
                <w:position w:val="0"/>
                <w:sz w:val="24"/>
                <w:szCs w:val="32"/>
                <w:highlight w:val="none"/>
                <w:u w:val="none"/>
                <w:lang w:val="en-US" w:eastAsia="zh-CN"/>
              </w:rPr>
              <w:t>%；专项转移支付收入</w:t>
            </w:r>
            <w:r>
              <w:rPr>
                <w:rFonts w:hint="eastAsia" w:ascii="方正仿宋_GBK" w:hAnsi="方正仿宋_GBK" w:eastAsia="方正仿宋_GBK" w:cs="方正仿宋_GBK"/>
                <w:color w:val="000000"/>
                <w:spacing w:val="0"/>
                <w:position w:val="0"/>
                <w:sz w:val="24"/>
                <w:szCs w:val="32"/>
                <w:highlight w:val="none"/>
                <w:u w:val="none"/>
                <w:lang w:val="en-US" w:eastAsia="zh-CN"/>
              </w:rPr>
              <w:t>17768</w:t>
            </w:r>
            <w:r>
              <w:rPr>
                <w:rFonts w:hint="default" w:ascii="方正仿宋_GBK" w:hAnsi="方正仿宋_GBK" w:eastAsia="方正仿宋_GBK" w:cs="方正仿宋_GBK"/>
                <w:color w:val="000000"/>
                <w:spacing w:val="0"/>
                <w:position w:val="0"/>
                <w:sz w:val="24"/>
                <w:szCs w:val="32"/>
                <w:highlight w:val="none"/>
                <w:u w:val="none"/>
                <w:lang w:val="en-US" w:eastAsia="zh-CN"/>
              </w:rPr>
              <w:t>万元，下降</w:t>
            </w:r>
            <w:r>
              <w:rPr>
                <w:rFonts w:hint="eastAsia" w:ascii="方正仿宋_GBK" w:hAnsi="方正仿宋_GBK" w:eastAsia="方正仿宋_GBK" w:cs="方正仿宋_GBK"/>
                <w:color w:val="000000"/>
                <w:spacing w:val="0"/>
                <w:position w:val="0"/>
                <w:sz w:val="24"/>
                <w:szCs w:val="32"/>
                <w:highlight w:val="none"/>
                <w:u w:val="none"/>
                <w:lang w:val="en-US" w:eastAsia="zh-CN"/>
              </w:rPr>
              <w:t>38.78</w:t>
            </w:r>
            <w:r>
              <w:rPr>
                <w:rFonts w:hint="default" w:ascii="方正仿宋_GBK" w:hAnsi="方正仿宋_GBK" w:eastAsia="方正仿宋_GBK" w:cs="方正仿宋_GBK"/>
                <w:color w:val="000000"/>
                <w:spacing w:val="0"/>
                <w:position w:val="0"/>
                <w:sz w:val="24"/>
                <w:szCs w:val="32"/>
                <w:highlight w:val="none"/>
                <w:u w:val="none"/>
                <w:lang w:val="en-US" w:eastAsia="zh-CN"/>
              </w:rPr>
              <w:t>%，占转移支付收入比重</w:t>
            </w:r>
            <w:r>
              <w:rPr>
                <w:rFonts w:hint="eastAsia" w:ascii="方正仿宋_GBK" w:hAnsi="方正仿宋_GBK" w:eastAsia="方正仿宋_GBK" w:cs="方正仿宋_GBK"/>
                <w:color w:val="000000"/>
                <w:spacing w:val="0"/>
                <w:position w:val="0"/>
                <w:sz w:val="24"/>
                <w:szCs w:val="32"/>
                <w:highlight w:val="none"/>
                <w:u w:val="none"/>
                <w:lang w:val="en-US" w:eastAsia="zh-CN"/>
              </w:rPr>
              <w:t>12.5</w:t>
            </w:r>
            <w:r>
              <w:rPr>
                <w:rFonts w:hint="default" w:ascii="方正仿宋_GBK" w:hAnsi="方正仿宋_GBK" w:eastAsia="方正仿宋_GBK" w:cs="方正仿宋_GBK"/>
                <w:color w:val="000000"/>
                <w:spacing w:val="0"/>
                <w:position w:val="0"/>
                <w:sz w:val="24"/>
                <w:szCs w:val="32"/>
                <w:highlight w:val="none"/>
                <w:u w:val="none"/>
                <w:lang w:val="en-US" w:eastAsia="zh-CN"/>
              </w:rPr>
              <w:t>%。一般性转移支付收入中，均衡性转移支付收入</w:t>
            </w:r>
            <w:r>
              <w:rPr>
                <w:rFonts w:hint="eastAsia" w:ascii="方正仿宋_GBK" w:hAnsi="方正仿宋_GBK" w:eastAsia="方正仿宋_GBK" w:cs="方正仿宋_GBK"/>
                <w:color w:val="000000"/>
                <w:spacing w:val="0"/>
                <w:position w:val="0"/>
                <w:sz w:val="24"/>
                <w:szCs w:val="32"/>
                <w:highlight w:val="none"/>
                <w:u w:val="none"/>
                <w:lang w:val="en-US" w:eastAsia="zh-CN"/>
              </w:rPr>
              <w:t>13477</w:t>
            </w:r>
            <w:r>
              <w:rPr>
                <w:rFonts w:hint="default" w:ascii="方正仿宋_GBK" w:hAnsi="方正仿宋_GBK" w:eastAsia="方正仿宋_GBK" w:cs="方正仿宋_GBK"/>
                <w:color w:val="000000"/>
                <w:spacing w:val="0"/>
                <w:position w:val="0"/>
                <w:sz w:val="24"/>
                <w:szCs w:val="32"/>
                <w:highlight w:val="none"/>
                <w:u w:val="none"/>
                <w:lang w:val="en-US" w:eastAsia="zh-CN"/>
              </w:rPr>
              <w:t>万元，</w:t>
            </w:r>
            <w:r>
              <w:rPr>
                <w:rFonts w:hint="eastAsia" w:ascii="方正仿宋_GBK" w:hAnsi="方正仿宋_GBK" w:eastAsia="方正仿宋_GBK" w:cs="方正仿宋_GBK"/>
                <w:color w:val="000000"/>
                <w:spacing w:val="0"/>
                <w:position w:val="0"/>
                <w:sz w:val="24"/>
                <w:szCs w:val="32"/>
                <w:highlight w:val="none"/>
                <w:u w:val="none"/>
                <w:lang w:val="en-US" w:eastAsia="zh-CN"/>
              </w:rPr>
              <w:t>下降1.35%</w:t>
            </w:r>
            <w:r>
              <w:rPr>
                <w:rFonts w:hint="default" w:ascii="方正仿宋_GBK" w:hAnsi="方正仿宋_GBK" w:eastAsia="方正仿宋_GBK" w:cs="方正仿宋_GBK"/>
                <w:color w:val="000000"/>
                <w:spacing w:val="0"/>
                <w:position w:val="0"/>
                <w:sz w:val="24"/>
                <w:szCs w:val="32"/>
                <w:highlight w:val="none"/>
                <w:u w:val="none"/>
                <w:lang w:val="en-US" w:eastAsia="zh-CN"/>
              </w:rPr>
              <w:t>；县级基本财力保障机制奖补资金收入</w:t>
            </w:r>
            <w:r>
              <w:rPr>
                <w:rFonts w:hint="eastAsia" w:ascii="方正仿宋_GBK" w:hAnsi="方正仿宋_GBK" w:eastAsia="方正仿宋_GBK" w:cs="方正仿宋_GBK"/>
                <w:color w:val="000000"/>
                <w:spacing w:val="0"/>
                <w:position w:val="0"/>
                <w:sz w:val="24"/>
                <w:szCs w:val="32"/>
                <w:highlight w:val="none"/>
                <w:u w:val="none"/>
                <w:lang w:val="en-US" w:eastAsia="zh-CN"/>
              </w:rPr>
              <w:t>24937</w:t>
            </w:r>
            <w:r>
              <w:rPr>
                <w:rFonts w:hint="default" w:ascii="方正仿宋_GBK" w:hAnsi="方正仿宋_GBK" w:eastAsia="方正仿宋_GBK" w:cs="方正仿宋_GBK"/>
                <w:color w:val="000000"/>
                <w:spacing w:val="0"/>
                <w:position w:val="0"/>
                <w:sz w:val="24"/>
                <w:szCs w:val="32"/>
                <w:highlight w:val="none"/>
                <w:u w:val="none"/>
                <w:lang w:val="en-US" w:eastAsia="zh-CN"/>
              </w:rPr>
              <w:t>万元，</w:t>
            </w:r>
            <w:r>
              <w:rPr>
                <w:rFonts w:hint="eastAsia" w:ascii="方正仿宋_GBK" w:hAnsi="方正仿宋_GBK" w:eastAsia="方正仿宋_GBK" w:cs="方正仿宋_GBK"/>
                <w:color w:val="000000"/>
                <w:spacing w:val="0"/>
                <w:position w:val="0"/>
                <w:sz w:val="24"/>
                <w:szCs w:val="32"/>
                <w:highlight w:val="none"/>
                <w:u w:val="none"/>
                <w:lang w:val="en-US" w:eastAsia="zh-CN"/>
              </w:rPr>
              <w:t>下降41.3</w:t>
            </w:r>
            <w:r>
              <w:rPr>
                <w:rFonts w:hint="default" w:ascii="方正仿宋_GBK" w:hAnsi="方正仿宋_GBK" w:eastAsia="方正仿宋_GBK" w:cs="方正仿宋_GBK"/>
                <w:color w:val="000000"/>
                <w:spacing w:val="0"/>
                <w:position w:val="0"/>
                <w:sz w:val="24"/>
                <w:szCs w:val="32"/>
                <w:highlight w:val="none"/>
                <w:u w:val="none"/>
                <w:lang w:val="en-US" w:eastAsia="zh-CN"/>
              </w:rPr>
              <w:t>%；固定数</w:t>
            </w:r>
            <w:bookmarkStart w:id="0" w:name="_GoBack"/>
            <w:bookmarkEnd w:id="0"/>
            <w:r>
              <w:rPr>
                <w:rFonts w:hint="default" w:ascii="方正仿宋_GBK" w:hAnsi="方正仿宋_GBK" w:eastAsia="方正仿宋_GBK" w:cs="方正仿宋_GBK"/>
                <w:color w:val="000000"/>
                <w:spacing w:val="0"/>
                <w:position w:val="0"/>
                <w:sz w:val="24"/>
                <w:szCs w:val="32"/>
                <w:highlight w:val="none"/>
                <w:u w:val="none"/>
                <w:lang w:val="en-US" w:eastAsia="zh-CN"/>
              </w:rPr>
              <w:t>额补助收入</w:t>
            </w:r>
            <w:r>
              <w:rPr>
                <w:rFonts w:hint="eastAsia" w:ascii="方正仿宋_GBK" w:hAnsi="方正仿宋_GBK" w:eastAsia="方正仿宋_GBK" w:cs="方正仿宋_GBK"/>
                <w:color w:val="000000"/>
                <w:spacing w:val="0"/>
                <w:position w:val="0"/>
                <w:sz w:val="24"/>
                <w:szCs w:val="32"/>
                <w:highlight w:val="none"/>
                <w:u w:val="none"/>
                <w:lang w:val="en-US" w:eastAsia="zh-CN"/>
              </w:rPr>
              <w:t>12024</w:t>
            </w:r>
            <w:r>
              <w:rPr>
                <w:rFonts w:hint="default" w:ascii="方正仿宋_GBK" w:hAnsi="方正仿宋_GBK" w:eastAsia="方正仿宋_GBK" w:cs="方正仿宋_GBK"/>
                <w:color w:val="000000"/>
                <w:spacing w:val="0"/>
                <w:position w:val="0"/>
                <w:sz w:val="24"/>
                <w:szCs w:val="32"/>
                <w:highlight w:val="none"/>
                <w:u w:val="none"/>
                <w:lang w:val="en-US" w:eastAsia="zh-CN"/>
              </w:rPr>
              <w:t>万元，</w:t>
            </w:r>
            <w:r>
              <w:rPr>
                <w:rFonts w:hint="eastAsia" w:ascii="方正仿宋_GBK" w:hAnsi="方正仿宋_GBK" w:eastAsia="方正仿宋_GBK" w:cs="方正仿宋_GBK"/>
                <w:color w:val="000000"/>
                <w:spacing w:val="0"/>
                <w:position w:val="0"/>
                <w:sz w:val="24"/>
                <w:szCs w:val="32"/>
                <w:highlight w:val="none"/>
                <w:u w:val="none"/>
                <w:lang w:val="en-US" w:eastAsia="zh-CN"/>
              </w:rPr>
              <w:t>增长2.59</w:t>
            </w:r>
            <w:r>
              <w:rPr>
                <w:rFonts w:hint="default" w:ascii="方正仿宋_GBK" w:hAnsi="方正仿宋_GBK" w:eastAsia="方正仿宋_GBK" w:cs="方正仿宋_GBK"/>
                <w:color w:val="000000"/>
                <w:spacing w:val="0"/>
                <w:position w:val="0"/>
                <w:sz w:val="24"/>
                <w:szCs w:val="32"/>
                <w:highlight w:val="none"/>
                <w:u w:val="none"/>
                <w:lang w:val="en-US" w:eastAsia="zh-CN"/>
              </w:rPr>
              <w:t>%；贫困地区转移支付收入</w:t>
            </w:r>
            <w:r>
              <w:rPr>
                <w:rFonts w:hint="eastAsia" w:ascii="方正仿宋_GBK" w:hAnsi="方正仿宋_GBK" w:eastAsia="方正仿宋_GBK" w:cs="方正仿宋_GBK"/>
                <w:color w:val="000000"/>
                <w:spacing w:val="0"/>
                <w:position w:val="0"/>
                <w:sz w:val="24"/>
                <w:szCs w:val="32"/>
                <w:highlight w:val="none"/>
                <w:u w:val="none"/>
                <w:lang w:val="en-US" w:eastAsia="zh-CN"/>
              </w:rPr>
              <w:t>11017</w:t>
            </w:r>
            <w:r>
              <w:rPr>
                <w:rFonts w:hint="default" w:ascii="方正仿宋_GBK" w:hAnsi="方正仿宋_GBK" w:eastAsia="方正仿宋_GBK" w:cs="方正仿宋_GBK"/>
                <w:color w:val="000000"/>
                <w:spacing w:val="0"/>
                <w:position w:val="0"/>
                <w:sz w:val="24"/>
                <w:szCs w:val="32"/>
                <w:highlight w:val="none"/>
                <w:u w:val="none"/>
                <w:lang w:val="en-US" w:eastAsia="zh-CN"/>
              </w:rPr>
              <w:t>万元，增长</w:t>
            </w:r>
            <w:r>
              <w:rPr>
                <w:rFonts w:hint="eastAsia" w:ascii="方正仿宋_GBK" w:hAnsi="方正仿宋_GBK" w:eastAsia="方正仿宋_GBK" w:cs="方正仿宋_GBK"/>
                <w:color w:val="000000"/>
                <w:spacing w:val="0"/>
                <w:position w:val="0"/>
                <w:sz w:val="24"/>
                <w:szCs w:val="32"/>
                <w:highlight w:val="none"/>
                <w:u w:val="none"/>
                <w:lang w:val="en-US" w:eastAsia="zh-CN"/>
              </w:rPr>
              <w:t>36.2</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结算补助收入6507万元，增长69.41%</w:t>
            </w:r>
            <w:r>
              <w:rPr>
                <w:rFonts w:hint="default" w:ascii="方正仿宋_GBK" w:hAnsi="方正仿宋_GBK" w:eastAsia="方正仿宋_GBK" w:cs="方正仿宋_GBK"/>
                <w:color w:val="000000"/>
                <w:spacing w:val="0"/>
                <w:position w:val="0"/>
                <w:sz w:val="24"/>
                <w:szCs w:val="32"/>
                <w:highlight w:val="none"/>
                <w:u w:val="none"/>
                <w:lang w:val="en-US" w:eastAsia="zh-CN"/>
              </w:rPr>
              <w:t>。</w:t>
            </w:r>
          </w:p>
        </w:tc>
      </w:tr>
      <w:tr>
        <w:tblPrEx>
          <w:tblCellMar>
            <w:top w:w="0" w:type="dxa"/>
            <w:left w:w="108" w:type="dxa"/>
            <w:bottom w:w="0" w:type="dxa"/>
            <w:right w:w="108" w:type="dxa"/>
          </w:tblCellMar>
        </w:tblPrEx>
        <w:trPr>
          <w:trHeight w:val="10537"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sz w:val="24"/>
              </w:rPr>
            </w:pPr>
            <w:r>
              <w:rPr>
                <w:rFonts w:hint="eastAsia" w:ascii="宋体" w:hAnsi="宋体" w:eastAsia="宋体"/>
                <w:sz w:val="24"/>
              </w:rPr>
              <w:t>预算绩效工作</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eastAsia="宋体"/>
                <w:sz w:val="24"/>
              </w:rPr>
              <w:t>开展情况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pacing w:val="0"/>
                <w:position w:val="0"/>
                <w:sz w:val="24"/>
                <w:szCs w:val="32"/>
                <w:highlight w:val="none"/>
                <w:u w:val="none"/>
                <w:lang w:eastAsia="zh-CN"/>
              </w:rPr>
            </w:pPr>
            <w:r>
              <w:rPr>
                <w:rFonts w:hint="eastAsia" w:ascii="方正仿宋_GBK" w:hAnsi="方正仿宋_GBK" w:eastAsia="方正仿宋_GBK" w:cs="方正仿宋_GBK"/>
                <w:color w:val="auto"/>
                <w:spacing w:val="0"/>
                <w:position w:val="0"/>
                <w:sz w:val="24"/>
                <w:szCs w:val="32"/>
                <w:highlight w:val="none"/>
                <w:u w:val="none"/>
                <w:lang w:eastAsia="zh-CN"/>
              </w:rPr>
              <w:t>1.全方位推进预算绩效评审管理。为推进预算绩效管理，梁河县先后出台了《梁河县全面实施预算绩效管理工作推进方案》、《梁河县2020年度预算绩效管理考核细则》、《梁河县项目支出绩效评价管理办法》、《梁河县县级部门预算绩效运行监控管理暂行办法》等预算绩效管理配套制度办法，为各部门做好预算绩效管理和项目支出绩效提供了参考依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pacing w:val="0"/>
                <w:position w:val="0"/>
                <w:sz w:val="24"/>
                <w:szCs w:val="32"/>
                <w:highlight w:val="none"/>
                <w:u w:val="none"/>
                <w:lang w:eastAsia="zh-CN"/>
              </w:rPr>
            </w:pPr>
            <w:r>
              <w:rPr>
                <w:rFonts w:hint="eastAsia" w:ascii="方正仿宋_GBK" w:hAnsi="方正仿宋_GBK" w:eastAsia="方正仿宋_GBK" w:cs="方正仿宋_GBK"/>
                <w:color w:val="auto"/>
                <w:spacing w:val="0"/>
                <w:position w:val="0"/>
                <w:sz w:val="24"/>
                <w:szCs w:val="32"/>
                <w:highlight w:val="none"/>
                <w:u w:val="none"/>
                <w:lang w:eastAsia="zh-CN"/>
              </w:rPr>
              <w:t>2.全过程落实预算绩效评审（评价）管理。梁河县2021年共收到77户预算部门申报预算项目647个，结合以前年度县级财力、民生状况、发展规划、初步评审结论等因素，对入库项目初审意见进行复核，决定暂不予实施项目104个。</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pacing w:val="0"/>
                <w:position w:val="0"/>
                <w:sz w:val="24"/>
                <w:szCs w:val="32"/>
                <w:highlight w:val="none"/>
                <w:u w:val="none"/>
                <w:lang w:eastAsia="zh-CN"/>
              </w:rPr>
            </w:pPr>
            <w:r>
              <w:rPr>
                <w:rFonts w:hint="eastAsia" w:ascii="方正仿宋_GBK" w:hAnsi="方正仿宋_GBK" w:eastAsia="方正仿宋_GBK" w:cs="方正仿宋_GBK"/>
                <w:color w:val="auto"/>
                <w:spacing w:val="0"/>
                <w:position w:val="0"/>
                <w:sz w:val="24"/>
                <w:szCs w:val="32"/>
                <w:highlight w:val="none"/>
                <w:u w:val="none"/>
                <w:lang w:eastAsia="zh-CN"/>
              </w:rPr>
              <w:t>3.全面实行部门整体支出和项目绩效目标管理情况。县财政局于2021年9月至11月委托云南谛祥会计师事务所选取5个部门的整体支出情况及12个重点项目支出情况进行了绩效再评价。资金范围涵盖了专项资金、财政扶贫资金、涉农整合资金、专项债券等重点项目。整体支出绩效评价共发现共性问题 4 个，重点项目支出绩效评价共发现个性问题 4 个，将评价结果反馈相关单位，督促其针对资金管理使用过程中存在的薄弱环节和问题进行整改完善，以促进资金质效提升，同时将结果报送相关资金管理股室用于预算安排、完善政策和改进管理的参考依据，绩效评价结果作为下一年预算安排的重要依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pacing w:val="0"/>
                <w:position w:val="0"/>
                <w:sz w:val="24"/>
                <w:szCs w:val="32"/>
                <w:highlight w:val="none"/>
                <w:u w:val="none"/>
                <w:lang w:eastAsia="zh-CN"/>
              </w:rPr>
            </w:pPr>
            <w:r>
              <w:rPr>
                <w:rFonts w:hint="eastAsia" w:ascii="方正仿宋_GBK" w:hAnsi="方正仿宋_GBK" w:eastAsia="方正仿宋_GBK" w:cs="方正仿宋_GBK"/>
                <w:color w:val="auto"/>
                <w:spacing w:val="0"/>
                <w:position w:val="0"/>
                <w:sz w:val="24"/>
                <w:szCs w:val="32"/>
                <w:highlight w:val="none"/>
                <w:u w:val="none"/>
                <w:lang w:eastAsia="zh-CN"/>
              </w:rPr>
              <w:t>4.全覆盖预算绩效管理。自2020年以来，梁河县将预算绩效扩大到所有财政安排的项目支出，涵盖一般公共预算、政府基金预算、国有资本经营预算、社会保障预算，项目支出绩效目标实现全覆盖。按照“谁申请资金、谁设置目标”的原则，将绩效目标设置和资金预算同步安排，同步批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cs="宋体"/>
                <w:color w:val="000000"/>
                <w:spacing w:val="0"/>
                <w:position w:val="0"/>
                <w:sz w:val="24"/>
                <w:u w:val="none"/>
                <w:lang w:eastAsia="zh-CN"/>
              </w:rPr>
            </w:pPr>
            <w:r>
              <w:rPr>
                <w:rFonts w:hint="eastAsia" w:ascii="方正仿宋_GBK" w:hAnsi="方正仿宋_GBK" w:eastAsia="方正仿宋_GBK" w:cs="方正仿宋_GBK"/>
                <w:color w:val="auto"/>
                <w:spacing w:val="0"/>
                <w:position w:val="0"/>
                <w:sz w:val="24"/>
                <w:szCs w:val="32"/>
                <w:highlight w:val="none"/>
                <w:u w:val="none"/>
                <w:lang w:eastAsia="zh-CN"/>
              </w:rPr>
              <w:t>5.建立绩效管理制度体系、指标体系、标准体系和协同体系。梁河县财政局根据实际工作需要，印发了一系列预算绩效管理制度，形成了以《关于全面实施预算绩效管理的实施办法》为主体，涵盖事前评估、目标管理、运行监控、绩效评价、结果应用的预算绩效管理制度体系，为推进全过程预算绩效管理提供了制度保障。建立预算绩效管理内部协调机制，明确各股室预算绩效管理职责，建立各股室间相互衔接形成合力共为、衔接有序的工作格局。制订预算绩效管理工作考核办法，对预算绩效管理工作开展情况进行评价。</w:t>
            </w:r>
          </w:p>
        </w:tc>
      </w:tr>
      <w:tr>
        <w:tblPrEx>
          <w:tblCellMar>
            <w:top w:w="0" w:type="dxa"/>
            <w:left w:w="108" w:type="dxa"/>
            <w:bottom w:w="0" w:type="dxa"/>
            <w:right w:w="108" w:type="dxa"/>
          </w:tblCellMar>
        </w:tblPrEx>
        <w:trPr>
          <w:trHeight w:val="4069"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1572" w:lineRule="exact"/>
              <w:ind w:firstLine="240" w:firstLineChars="100"/>
              <w:rPr>
                <w:rFonts w:ascii="宋体" w:hAnsi="宋体" w:cs="宋体"/>
                <w:color w:val="000000"/>
                <w:spacing w:val="0"/>
                <w:position w:val="0"/>
                <w:sz w:val="24"/>
                <w:u w:val="none"/>
              </w:rPr>
            </w:pPr>
            <w:r>
              <w:rPr>
                <w:rFonts w:ascii="宋体" w:hAnsi="宋体" w:cs="宋体"/>
                <w:color w:val="000000"/>
                <w:spacing w:val="0"/>
                <w:position w:val="0"/>
                <w:sz w:val="24"/>
                <w:u w:val="none"/>
              </w:rPr>
              <w:t>举借政府债务</w:t>
            </w:r>
            <w:r>
              <w:rPr>
                <w:rFonts w:hint="eastAsia" w:ascii="宋体" w:hAnsi="宋体" w:cs="宋体"/>
                <w:color w:val="000000"/>
                <w:spacing w:val="0"/>
                <w:position w:val="0"/>
                <w:sz w:val="24"/>
                <w:u w:val="none"/>
                <w:lang w:eastAsia="zh-CN"/>
              </w:rPr>
              <w:t>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pStyle w:val="2"/>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default" w:ascii="方正仿宋_GBK" w:hAnsi="方正仿宋_GBK" w:eastAsia="方正仿宋_GBK" w:cs="方正仿宋_GBK"/>
                <w:color w:val="auto"/>
                <w:spacing w:val="0"/>
                <w:position w:val="0"/>
                <w:sz w:val="24"/>
                <w:szCs w:val="32"/>
                <w:u w:val="none"/>
                <w:lang w:val="en-US" w:eastAsia="zh-CN"/>
              </w:rPr>
            </w:pPr>
            <w:r>
              <w:rPr>
                <w:rFonts w:hint="eastAsia" w:ascii="方正仿宋_GBK" w:hAnsi="方正仿宋_GBK" w:eastAsia="方正仿宋_GBK" w:cs="方正仿宋_GBK"/>
                <w:color w:val="auto"/>
                <w:spacing w:val="0"/>
                <w:position w:val="0"/>
                <w:sz w:val="24"/>
                <w:szCs w:val="32"/>
                <w:u w:val="none"/>
                <w:lang w:eastAsia="zh-CN"/>
              </w:rPr>
              <w:t>经县人大常委会</w:t>
            </w:r>
            <w:r>
              <w:rPr>
                <w:rFonts w:hint="eastAsia" w:ascii="方正仿宋_GBK" w:hAnsi="方正仿宋_GBK" w:eastAsia="方正仿宋_GBK" w:cs="方正仿宋_GBK"/>
                <w:color w:val="auto"/>
                <w:spacing w:val="0"/>
                <w:position w:val="0"/>
                <w:sz w:val="24"/>
                <w:szCs w:val="32"/>
                <w:u w:val="none"/>
                <w:lang w:val="en-US" w:eastAsia="zh-CN"/>
              </w:rPr>
              <w:t>会议</w:t>
            </w:r>
            <w:r>
              <w:rPr>
                <w:rFonts w:hint="eastAsia" w:ascii="方正仿宋_GBK" w:hAnsi="方正仿宋_GBK" w:eastAsia="方正仿宋_GBK" w:cs="方正仿宋_GBK"/>
                <w:color w:val="auto"/>
                <w:spacing w:val="0"/>
                <w:position w:val="0"/>
                <w:sz w:val="24"/>
                <w:szCs w:val="32"/>
                <w:u w:val="none"/>
                <w:lang w:eastAsia="zh-CN"/>
              </w:rPr>
              <w:t>批准，梁河县202</w:t>
            </w:r>
            <w:r>
              <w:rPr>
                <w:rFonts w:hint="eastAsia" w:ascii="方正仿宋_GBK" w:hAnsi="方正仿宋_GBK" w:eastAsia="方正仿宋_GBK" w:cs="方正仿宋_GBK"/>
                <w:color w:val="auto"/>
                <w:spacing w:val="0"/>
                <w:position w:val="0"/>
                <w:sz w:val="24"/>
                <w:szCs w:val="32"/>
                <w:u w:val="none"/>
                <w:lang w:val="en-US" w:eastAsia="zh-CN"/>
              </w:rPr>
              <w:t>1</w:t>
            </w:r>
            <w:r>
              <w:rPr>
                <w:rFonts w:hint="eastAsia" w:ascii="方正仿宋_GBK" w:hAnsi="方正仿宋_GBK" w:eastAsia="方正仿宋_GBK" w:cs="方正仿宋_GBK"/>
                <w:color w:val="auto"/>
                <w:spacing w:val="0"/>
                <w:position w:val="0"/>
                <w:sz w:val="24"/>
                <w:szCs w:val="32"/>
                <w:u w:val="none"/>
                <w:lang w:eastAsia="zh-CN"/>
              </w:rPr>
              <w:t>年地方政府债务限额186451万元，比</w:t>
            </w:r>
            <w:r>
              <w:rPr>
                <w:rFonts w:hint="eastAsia" w:ascii="方正仿宋_GBK" w:hAnsi="方正仿宋_GBK" w:eastAsia="方正仿宋_GBK" w:cs="方正仿宋_GBK"/>
                <w:color w:val="auto"/>
                <w:spacing w:val="0"/>
                <w:position w:val="0"/>
                <w:sz w:val="24"/>
                <w:szCs w:val="32"/>
                <w:u w:val="none"/>
                <w:lang w:val="en-US" w:eastAsia="zh-CN"/>
              </w:rPr>
              <w:t>2020</w:t>
            </w:r>
            <w:r>
              <w:rPr>
                <w:rFonts w:hint="eastAsia" w:ascii="方正仿宋_GBK" w:hAnsi="方正仿宋_GBK" w:eastAsia="方正仿宋_GBK" w:cs="方正仿宋_GBK"/>
                <w:color w:val="auto"/>
                <w:spacing w:val="0"/>
                <w:position w:val="0"/>
                <w:sz w:val="24"/>
                <w:szCs w:val="32"/>
                <w:u w:val="none"/>
                <w:lang w:eastAsia="zh-CN"/>
              </w:rPr>
              <w:t>年增加25000万元，均为专项债。202</w:t>
            </w:r>
            <w:r>
              <w:rPr>
                <w:rFonts w:hint="eastAsia" w:ascii="方正仿宋_GBK" w:hAnsi="方正仿宋_GBK" w:eastAsia="方正仿宋_GBK" w:cs="方正仿宋_GBK"/>
                <w:color w:val="auto"/>
                <w:spacing w:val="0"/>
                <w:position w:val="0"/>
                <w:sz w:val="24"/>
                <w:szCs w:val="32"/>
                <w:u w:val="none"/>
                <w:lang w:val="en-US" w:eastAsia="zh-CN"/>
              </w:rPr>
              <w:t>1</w:t>
            </w:r>
            <w:r>
              <w:rPr>
                <w:rFonts w:hint="eastAsia" w:ascii="方正仿宋_GBK" w:hAnsi="方正仿宋_GBK" w:eastAsia="方正仿宋_GBK" w:cs="方正仿宋_GBK"/>
                <w:color w:val="auto"/>
                <w:spacing w:val="0"/>
                <w:position w:val="0"/>
                <w:sz w:val="24"/>
                <w:szCs w:val="32"/>
                <w:u w:val="none"/>
                <w:lang w:eastAsia="zh-CN"/>
              </w:rPr>
              <w:t>年梁河县收到转贷地方政府债券</w:t>
            </w:r>
            <w:r>
              <w:rPr>
                <w:rFonts w:hint="eastAsia" w:ascii="方正仿宋_GBK" w:hAnsi="方正仿宋_GBK" w:eastAsia="方正仿宋_GBK" w:cs="方正仿宋_GBK"/>
                <w:color w:val="auto"/>
                <w:spacing w:val="0"/>
                <w:position w:val="0"/>
                <w:sz w:val="24"/>
                <w:szCs w:val="32"/>
                <w:u w:val="none"/>
                <w:lang w:val="en-US" w:eastAsia="zh-CN"/>
              </w:rPr>
              <w:t>26400</w:t>
            </w:r>
            <w:r>
              <w:rPr>
                <w:rFonts w:hint="eastAsia" w:ascii="方正仿宋_GBK" w:hAnsi="方正仿宋_GBK" w:eastAsia="方正仿宋_GBK" w:cs="方正仿宋_GBK"/>
                <w:color w:val="auto"/>
                <w:spacing w:val="0"/>
                <w:position w:val="0"/>
                <w:sz w:val="24"/>
                <w:szCs w:val="32"/>
                <w:u w:val="none"/>
                <w:lang w:eastAsia="zh-CN"/>
              </w:rPr>
              <w:t>万元，其中：新增债券</w:t>
            </w:r>
            <w:r>
              <w:rPr>
                <w:rFonts w:hint="eastAsia" w:ascii="方正仿宋_GBK" w:hAnsi="方正仿宋_GBK" w:eastAsia="方正仿宋_GBK" w:cs="方正仿宋_GBK"/>
                <w:color w:val="auto"/>
                <w:spacing w:val="0"/>
                <w:position w:val="0"/>
                <w:sz w:val="24"/>
                <w:szCs w:val="32"/>
                <w:u w:val="none"/>
                <w:lang w:val="en-US" w:eastAsia="zh-CN"/>
              </w:rPr>
              <w:t>25000万元，再融资债券1400万元。</w:t>
            </w:r>
            <w:r>
              <w:rPr>
                <w:rFonts w:hint="eastAsia" w:ascii="方正仿宋_GBK" w:hAnsi="方正仿宋_GBK" w:eastAsia="方正仿宋_GBK" w:cs="方正仿宋_GBK"/>
                <w:color w:val="auto"/>
                <w:spacing w:val="0"/>
                <w:position w:val="0"/>
                <w:sz w:val="24"/>
                <w:szCs w:val="32"/>
                <w:u w:val="none"/>
                <w:lang w:eastAsia="zh-CN"/>
              </w:rPr>
              <w:t>新增债券资金</w:t>
            </w:r>
            <w:r>
              <w:rPr>
                <w:rFonts w:hint="eastAsia" w:ascii="方正仿宋_GBK" w:hAnsi="方正仿宋_GBK" w:eastAsia="方正仿宋_GBK" w:cs="方正仿宋_GBK"/>
                <w:color w:val="auto"/>
                <w:spacing w:val="0"/>
                <w:position w:val="0"/>
                <w:sz w:val="24"/>
                <w:szCs w:val="32"/>
                <w:u w:val="none"/>
                <w:lang w:val="en-US" w:eastAsia="zh-CN"/>
              </w:rPr>
              <w:t>安排用于德宏州梁河县人民医院迁建项目11,000万元，梁河县脱贫攻坚产教融合发展实训基地建设（综合高中）项目12,000万元，梁河县城二号、三号停车场建设项目2,000万元。梁河县2021年末政府性债务余额为170,762万元，低于债务限额186451万元，未超债务限额。</w:t>
            </w:r>
          </w:p>
          <w:p>
            <w:pPr>
              <w:spacing w:before="0" w:after="0" w:line="293" w:lineRule="exact"/>
              <w:ind w:firstLine="420" w:firstLineChars="200"/>
            </w:pPr>
          </w:p>
        </w:tc>
      </w:tr>
    </w:tbl>
    <w:p>
      <w:pPr>
        <w:spacing w:before="0" w:after="0" w:line="519" w:lineRule="exact"/>
        <w:ind w:left="3372" w:firstLine="0"/>
        <w:jc w:val="left"/>
        <w:rPr>
          <w:rFonts w:hint="eastAsia" w:ascii="方正小标宋简体" w:hAnsi="方正小标宋简体" w:eastAsia="方正小标宋简体" w:cs="方正小标宋简体"/>
          <w:b/>
          <w:bCs/>
          <w:color w:val="000000"/>
          <w:spacing w:val="0"/>
          <w:position w:val="0"/>
          <w:sz w:val="36"/>
          <w:u w:val="none"/>
        </w:rPr>
      </w:pPr>
    </w:p>
    <w:sectPr>
      <w:type w:val="continuous"/>
      <w:pgSz w:w="11905" w:h="16838"/>
      <w:pgMar w:top="0" w:right="0" w:bottom="0" w:left="0" w:header="0"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OTI5YzI5OWY2M2M5M2UwMzg5Y2Q1NGNjM2UyNTUifQ=="/>
  </w:docVars>
  <w:rsids>
    <w:rsidRoot w:val="00172A27"/>
    <w:rsid w:val="00325E2F"/>
    <w:rsid w:val="007F1C1F"/>
    <w:rsid w:val="02132FF4"/>
    <w:rsid w:val="12896F34"/>
    <w:rsid w:val="141D1C1C"/>
    <w:rsid w:val="16F8599B"/>
    <w:rsid w:val="24424409"/>
    <w:rsid w:val="2DF235EE"/>
    <w:rsid w:val="35FA7EA7"/>
    <w:rsid w:val="45EC5D0D"/>
    <w:rsid w:val="47E07EFE"/>
    <w:rsid w:val="4F5202FD"/>
    <w:rsid w:val="53E644AE"/>
    <w:rsid w:val="547040C3"/>
    <w:rsid w:val="5C3D4FAC"/>
    <w:rsid w:val="5DDB3715"/>
    <w:rsid w:val="61F035B1"/>
    <w:rsid w:val="65C534AB"/>
    <w:rsid w:val="6FA11AE9"/>
    <w:rsid w:val="6FF70753"/>
    <w:rsid w:val="76CF22BD"/>
    <w:rsid w:val="7B135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0" w:type="dxa"/>
        <w:bottom w:w="0" w:type="dxa"/>
        <w:right w:w="0" w:type="dxa"/>
      </w:tblCellMar>
    </w:tblPr>
  </w:style>
  <w:style w:type="paragraph" w:styleId="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1310</Words>
  <Characters>1472</Characters>
  <Lines>0</Lines>
  <Paragraphs>0</Paragraphs>
  <TotalTime>14</TotalTime>
  <ScaleCrop>false</ScaleCrop>
  <LinksUpToDate>false</LinksUpToDate>
  <CharactersWithSpaces>1476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2020-08-31T06:48:00Z</dcterms:created>
  <dc:creator>jxpjk</dc:creator>
  <cp:lastModifiedBy>花季</cp:lastModifiedBy>
  <cp:lastPrinted>2020-08-31T09:56:00Z</cp:lastPrinted>
  <dcterms:modified xsi:type="dcterms:W3CDTF">2022-10-13T00:53:10Z</dcterms:modified>
  <dc:title>重点工作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5183D8B4295F4432B4CF02BEFACB9550</vt:lpwstr>
  </property>
</Properties>
</file>