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jc w:val="center"/>
        <w:textAlignment w:val="auto"/>
        <w:outlineLvl w:val="9"/>
        <w:rPr>
          <w:rFonts w:ascii="宋体" w:hAnsi="宋体" w:eastAsia="宋体" w:cs="宋体"/>
          <w:color w:val="333333"/>
          <w:sz w:val="28"/>
          <w:szCs w:val="28"/>
        </w:rPr>
      </w:pPr>
      <w:r>
        <w:rPr>
          <w:rFonts w:hint="eastAsia" w:ascii="微软雅黑" w:hAnsi="微软雅黑" w:cs="宋体"/>
          <w:b/>
          <w:bCs/>
          <w:color w:val="333333"/>
          <w:sz w:val="28"/>
          <w:szCs w:val="28"/>
        </w:rPr>
        <w:t>梁河县民族宗教事务局</w:t>
      </w:r>
    </w:p>
    <w:p>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jc w:val="center"/>
        <w:textAlignment w:val="auto"/>
        <w:outlineLvl w:val="9"/>
        <w:rPr>
          <w:rFonts w:ascii="宋体" w:hAnsi="宋体" w:eastAsia="宋体" w:cs="宋体"/>
          <w:color w:val="333333"/>
          <w:sz w:val="28"/>
          <w:szCs w:val="28"/>
        </w:rPr>
      </w:pPr>
      <w:r>
        <w:rPr>
          <w:rFonts w:hint="eastAsia" w:ascii="微软雅黑" w:hAnsi="微软雅黑" w:cs="宋体"/>
          <w:b/>
          <w:bCs/>
          <w:color w:val="333333"/>
          <w:sz w:val="28"/>
          <w:szCs w:val="28"/>
        </w:rPr>
        <w:t>2018年部门预算编制的补充说明</w:t>
      </w:r>
    </w:p>
    <w:p>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textAlignment w:val="auto"/>
        <w:outlineLvl w:val="9"/>
        <w:rPr>
          <w:rFonts w:ascii="宋体" w:hAnsi="宋体" w:eastAsia="宋体" w:cs="宋体"/>
          <w:color w:val="333333"/>
          <w:sz w:val="28"/>
          <w:szCs w:val="28"/>
        </w:rPr>
      </w:pPr>
      <w:r>
        <w:rPr>
          <w:rFonts w:hint="eastAsia" w:ascii="微软雅黑" w:hAnsi="微软雅黑" w:cs="宋体"/>
          <w:b/>
          <w:bCs/>
          <w:color w:val="333333"/>
          <w:sz w:val="28"/>
          <w:szCs w:val="28"/>
        </w:rPr>
        <w:t>   </w:t>
      </w:r>
    </w:p>
    <w:p>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textAlignment w:val="auto"/>
        <w:outlineLvl w:val="9"/>
        <w:rPr>
          <w:rFonts w:ascii="宋体" w:hAnsi="宋体" w:eastAsia="宋体" w:cs="宋体"/>
          <w:color w:val="333333"/>
          <w:sz w:val="28"/>
          <w:szCs w:val="28"/>
        </w:rPr>
      </w:pPr>
      <w:r>
        <w:rPr>
          <w:rFonts w:hint="eastAsia" w:ascii="微软雅黑" w:hAnsi="微软雅黑" w:cs="宋体"/>
          <w:b/>
          <w:bCs/>
          <w:color w:val="333333"/>
          <w:sz w:val="28"/>
          <w:szCs w:val="28"/>
        </w:rPr>
        <w:t>一、名词解释</w:t>
      </w:r>
    </w:p>
    <w:p>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textAlignment w:val="auto"/>
        <w:outlineLvl w:val="9"/>
        <w:rPr>
          <w:rFonts w:ascii="宋体" w:hAnsi="宋体" w:eastAsia="宋体" w:cs="宋体"/>
          <w:color w:val="333333"/>
          <w:sz w:val="28"/>
          <w:szCs w:val="28"/>
        </w:rPr>
      </w:pPr>
      <w:r>
        <w:rPr>
          <w:rFonts w:hint="eastAsia" w:ascii="宋体" w:hAnsi="宋体" w:eastAsia="宋体" w:cs="宋体"/>
          <w:color w:val="333333"/>
          <w:sz w:val="28"/>
          <w:szCs w:val="28"/>
        </w:rPr>
        <w:t>政府采购预算情况</w:t>
      </w:r>
    </w:p>
    <w:p>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textAlignment w:val="auto"/>
        <w:outlineLvl w:val="9"/>
        <w:rPr>
          <w:rFonts w:ascii="宋体" w:hAnsi="宋体" w:eastAsia="宋体" w:cs="宋体"/>
          <w:color w:val="333333"/>
          <w:sz w:val="28"/>
          <w:szCs w:val="28"/>
        </w:rPr>
      </w:pPr>
      <w:r>
        <w:rPr>
          <w:rFonts w:hint="eastAsia" w:ascii="宋体" w:hAnsi="宋体" w:eastAsia="宋体" w:cs="宋体"/>
          <w:color w:val="333333"/>
          <w:sz w:val="28"/>
          <w:szCs w:val="28"/>
        </w:rPr>
        <w:t>    根据《中华人民共和国政府采购法》的有关规定，编制了政府采购预算，共涉及采购项目0个，采购预算资金0万元</w:t>
      </w:r>
    </w:p>
    <w:p>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textAlignment w:val="auto"/>
        <w:outlineLvl w:val="9"/>
        <w:rPr>
          <w:rFonts w:ascii="宋体" w:hAnsi="宋体" w:eastAsia="宋体" w:cs="宋体"/>
          <w:color w:val="333333"/>
          <w:sz w:val="28"/>
          <w:szCs w:val="28"/>
        </w:rPr>
      </w:pPr>
      <w:r>
        <w:rPr>
          <w:rFonts w:hint="eastAsia" w:ascii="宋体" w:hAnsi="宋体" w:eastAsia="宋体" w:cs="宋体"/>
          <w:color w:val="333333"/>
          <w:sz w:val="28"/>
          <w:szCs w:val="28"/>
        </w:rPr>
        <w:t>其他公开信息</w:t>
      </w:r>
    </w:p>
    <w:p>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textAlignment w:val="auto"/>
        <w:outlineLvl w:val="9"/>
        <w:rPr>
          <w:rFonts w:ascii="宋体" w:hAnsi="宋体" w:eastAsia="宋体" w:cs="宋体"/>
          <w:color w:val="333333"/>
          <w:sz w:val="28"/>
          <w:szCs w:val="28"/>
        </w:rPr>
      </w:pPr>
      <w:r>
        <w:rPr>
          <w:rFonts w:hint="eastAsia" w:ascii="宋体" w:hAnsi="宋体" w:eastAsia="宋体" w:cs="宋体"/>
          <w:color w:val="333333"/>
          <w:sz w:val="28"/>
          <w:szCs w:val="28"/>
        </w:rPr>
        <w:t>（一）专业名词解释</w:t>
      </w:r>
    </w:p>
    <w:p>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textAlignment w:val="auto"/>
        <w:outlineLvl w:val="9"/>
        <w:rPr>
          <w:rFonts w:ascii="宋体" w:hAnsi="宋体" w:eastAsia="宋体" w:cs="宋体"/>
          <w:color w:val="333333"/>
          <w:sz w:val="28"/>
          <w:szCs w:val="28"/>
        </w:rPr>
      </w:pPr>
      <w:r>
        <w:rPr>
          <w:rFonts w:hint="eastAsia" w:ascii="宋体" w:hAnsi="宋体" w:eastAsia="宋体" w:cs="宋体"/>
          <w:color w:val="333333"/>
          <w:sz w:val="28"/>
          <w:szCs w:val="28"/>
        </w:rPr>
        <w:t>1、财政拨款收入：指财政当年拨付的资金。</w:t>
      </w:r>
    </w:p>
    <w:p>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textAlignment w:val="auto"/>
        <w:outlineLvl w:val="9"/>
        <w:rPr>
          <w:rFonts w:ascii="宋体" w:hAnsi="宋体" w:eastAsia="宋体" w:cs="宋体"/>
          <w:color w:val="333333"/>
          <w:sz w:val="28"/>
          <w:szCs w:val="28"/>
        </w:rPr>
      </w:pPr>
      <w:r>
        <w:rPr>
          <w:rFonts w:hint="eastAsia" w:ascii="宋体" w:hAnsi="宋体" w:eastAsia="宋体" w:cs="宋体"/>
          <w:color w:val="333333"/>
          <w:sz w:val="28"/>
          <w:szCs w:val="28"/>
        </w:rPr>
        <w:t>2、其他收入：指除上述“财政拨款收入”、“事业收入”、“经营收入”等以外的收入。</w:t>
      </w:r>
    </w:p>
    <w:p>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textAlignment w:val="auto"/>
        <w:outlineLvl w:val="9"/>
        <w:rPr>
          <w:rFonts w:ascii="宋体" w:hAnsi="宋体" w:eastAsia="宋体" w:cs="宋体"/>
          <w:color w:val="333333"/>
          <w:sz w:val="28"/>
          <w:szCs w:val="28"/>
        </w:rPr>
      </w:pPr>
      <w:r>
        <w:rPr>
          <w:rFonts w:hint="eastAsia" w:ascii="宋体" w:hAnsi="宋体" w:eastAsia="宋体" w:cs="宋体"/>
          <w:color w:val="333333"/>
          <w:sz w:val="28"/>
          <w:szCs w:val="28"/>
        </w:rPr>
        <w:t>3、年初结转和结余：指以前年度尚未完成、结转到本年仍按原规定用途继续使用的资金，或项目已完成等产生的结余资金。</w:t>
      </w:r>
    </w:p>
    <w:p>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textAlignment w:val="auto"/>
        <w:outlineLvl w:val="9"/>
        <w:rPr>
          <w:rFonts w:ascii="宋体" w:hAnsi="宋体" w:eastAsia="宋体" w:cs="宋体"/>
          <w:color w:val="333333"/>
          <w:sz w:val="28"/>
          <w:szCs w:val="28"/>
        </w:rPr>
      </w:pPr>
      <w:r>
        <w:rPr>
          <w:rFonts w:hint="eastAsia" w:ascii="宋体" w:hAnsi="宋体" w:eastAsia="宋体" w:cs="宋体"/>
          <w:color w:val="333333"/>
          <w:sz w:val="28"/>
          <w:szCs w:val="28"/>
        </w:rPr>
        <w:t>4、年末结转和结余：指单位按有关规定结转到下年或以后年度继续使用的资金，或项目已完成等产生的结余资金。</w:t>
      </w:r>
    </w:p>
    <w:p>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textAlignment w:val="auto"/>
        <w:outlineLvl w:val="9"/>
        <w:rPr>
          <w:rFonts w:ascii="宋体" w:hAnsi="宋体" w:eastAsia="宋体" w:cs="宋体"/>
          <w:color w:val="333333"/>
          <w:sz w:val="28"/>
          <w:szCs w:val="28"/>
        </w:rPr>
      </w:pPr>
      <w:r>
        <w:rPr>
          <w:rFonts w:hint="eastAsia" w:ascii="宋体" w:hAnsi="宋体" w:eastAsia="宋体" w:cs="宋体"/>
          <w:color w:val="333333"/>
          <w:sz w:val="28"/>
          <w:szCs w:val="28"/>
        </w:rPr>
        <w:t>5、社会保障和就业支出(类)行政事业单位离退休（款）：反映用于行政事业单位离退休方面的支出。</w:t>
      </w:r>
    </w:p>
    <w:p>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textAlignment w:val="auto"/>
        <w:outlineLvl w:val="9"/>
        <w:rPr>
          <w:rFonts w:ascii="宋体" w:hAnsi="宋体" w:eastAsia="宋体" w:cs="宋体"/>
          <w:color w:val="333333"/>
          <w:sz w:val="28"/>
          <w:szCs w:val="28"/>
        </w:rPr>
      </w:pPr>
      <w:r>
        <w:rPr>
          <w:rFonts w:hint="eastAsia" w:ascii="宋体" w:hAnsi="宋体" w:eastAsia="宋体" w:cs="宋体"/>
          <w:color w:val="333333"/>
          <w:sz w:val="28"/>
          <w:szCs w:val="28"/>
        </w:rPr>
        <w:t>归口管理的行政单位离退休（项）: 反映实行归口管理的行政单位开支的离退休经费。</w:t>
      </w:r>
    </w:p>
    <w:p>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textAlignment w:val="auto"/>
        <w:outlineLvl w:val="9"/>
        <w:rPr>
          <w:rFonts w:ascii="宋体" w:hAnsi="宋体" w:eastAsia="宋体" w:cs="宋体"/>
          <w:color w:val="333333"/>
          <w:sz w:val="28"/>
          <w:szCs w:val="28"/>
        </w:rPr>
      </w:pPr>
      <w:r>
        <w:rPr>
          <w:rFonts w:hint="eastAsia" w:ascii="宋体" w:hAnsi="宋体" w:eastAsia="宋体" w:cs="宋体"/>
          <w:color w:val="333333"/>
          <w:sz w:val="28"/>
          <w:szCs w:val="28"/>
        </w:rPr>
        <w:t>离退休人员管理机构（项）：反映实行归口管理的各类离退休人员管理机构的支出。</w:t>
      </w:r>
    </w:p>
    <w:p>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textAlignment w:val="auto"/>
        <w:outlineLvl w:val="9"/>
        <w:rPr>
          <w:rFonts w:ascii="宋体" w:hAnsi="宋体" w:eastAsia="宋体" w:cs="宋体"/>
          <w:color w:val="333333"/>
          <w:sz w:val="28"/>
          <w:szCs w:val="28"/>
        </w:rPr>
      </w:pPr>
      <w:r>
        <w:rPr>
          <w:rFonts w:hint="eastAsia" w:ascii="宋体" w:hAnsi="宋体" w:eastAsia="宋体" w:cs="宋体"/>
          <w:color w:val="333333"/>
          <w:sz w:val="28"/>
          <w:szCs w:val="28"/>
        </w:rPr>
        <w:t>6、住房保障支出（类）住房改革支出（款）：反映行政事业单位用财政拨款资金和其他资金等安排的住房改革支出。</w:t>
      </w:r>
    </w:p>
    <w:p>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textAlignment w:val="auto"/>
        <w:outlineLvl w:val="9"/>
        <w:rPr>
          <w:rFonts w:ascii="宋体" w:hAnsi="宋体" w:eastAsia="宋体" w:cs="宋体"/>
          <w:color w:val="333333"/>
          <w:sz w:val="28"/>
          <w:szCs w:val="28"/>
        </w:rPr>
      </w:pPr>
      <w:r>
        <w:rPr>
          <w:rFonts w:hint="eastAsia" w:ascii="宋体" w:hAnsi="宋体" w:eastAsia="宋体" w:cs="宋体"/>
          <w:color w:val="333333"/>
          <w:sz w:val="28"/>
          <w:szCs w:val="28"/>
        </w:rPr>
        <w:t>住房公积金（项）：反映行政事业单位按人力资源和社会保障部、财政部规定的基本工资和津贴补贴以及规定比例为职工缴纳的住房公积金。</w:t>
      </w:r>
    </w:p>
    <w:p>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textAlignment w:val="auto"/>
        <w:outlineLvl w:val="9"/>
        <w:rPr>
          <w:rFonts w:ascii="宋体" w:hAnsi="宋体" w:eastAsia="宋体" w:cs="宋体"/>
          <w:color w:val="333333"/>
          <w:sz w:val="28"/>
          <w:szCs w:val="28"/>
        </w:rPr>
      </w:pPr>
      <w:r>
        <w:rPr>
          <w:rFonts w:hint="eastAsia" w:ascii="宋体" w:hAnsi="宋体" w:eastAsia="宋体" w:cs="宋体"/>
          <w:color w:val="333333"/>
          <w:sz w:val="28"/>
          <w:szCs w:val="28"/>
        </w:rPr>
        <w:t>7、基本支出：指为保障机构正常运转、完成日常工作任务而发生的人员经费和日常公用经费。</w:t>
      </w:r>
    </w:p>
    <w:p>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textAlignment w:val="auto"/>
        <w:outlineLvl w:val="9"/>
        <w:rPr>
          <w:rFonts w:ascii="宋体" w:hAnsi="宋体" w:eastAsia="宋体" w:cs="宋体"/>
          <w:color w:val="333333"/>
          <w:sz w:val="28"/>
          <w:szCs w:val="28"/>
        </w:rPr>
      </w:pPr>
      <w:r>
        <w:rPr>
          <w:rFonts w:hint="eastAsia" w:ascii="宋体" w:hAnsi="宋体" w:eastAsia="宋体" w:cs="宋体"/>
          <w:color w:val="333333"/>
          <w:sz w:val="28"/>
          <w:szCs w:val="28"/>
        </w:rPr>
        <w:t>8、项目支出：指在基本支出之外为完成特定行政任务和事业发展目标所发生的支出。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textAlignment w:val="auto"/>
        <w:outlineLvl w:val="9"/>
        <w:rPr>
          <w:rFonts w:ascii="宋体" w:hAnsi="宋体" w:eastAsia="宋体" w:cs="宋体"/>
          <w:color w:val="333333"/>
          <w:sz w:val="28"/>
          <w:szCs w:val="28"/>
        </w:rPr>
      </w:pPr>
      <w:r>
        <w:rPr>
          <w:rFonts w:hint="eastAsia" w:ascii="宋体" w:hAnsi="宋体" w:eastAsia="宋体" w:cs="宋体"/>
          <w:color w:val="333333"/>
          <w:sz w:val="28"/>
          <w:szCs w:val="28"/>
        </w:rPr>
        <w:t>9、“三公”经费：中央财政预决算管理的“三公”经费指中央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及租用费、燃料费、维修费、过路过桥费、保险费、安全奖励费用等支出；公务接待费反映单位按规定开支的各类公务接待（含外宾接待）支出。</w:t>
      </w:r>
    </w:p>
    <w:p>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textAlignment w:val="auto"/>
        <w:outlineLvl w:val="9"/>
        <w:rPr>
          <w:rFonts w:ascii="宋体" w:hAnsi="宋体" w:eastAsia="宋体" w:cs="宋体"/>
          <w:color w:val="333333"/>
          <w:sz w:val="28"/>
          <w:szCs w:val="28"/>
        </w:rPr>
      </w:pPr>
      <w:r>
        <w:rPr>
          <w:rFonts w:hint="eastAsia" w:ascii="宋体" w:hAnsi="宋体" w:eastAsia="宋体" w:cs="宋体"/>
          <w:color w:val="333333"/>
          <w:sz w:val="28"/>
          <w:szCs w:val="28"/>
        </w:rPr>
        <w:t>10、机关运行经费：指为保障行政单位运行用于购买货物和服务的各项资金，包括办公及印刷费、邮电费、差旅费、会议费</w:t>
      </w:r>
      <w:bookmarkStart w:id="0" w:name="_GoBack"/>
      <w:bookmarkEnd w:id="0"/>
      <w:r>
        <w:rPr>
          <w:rFonts w:hint="eastAsia" w:ascii="宋体" w:hAnsi="宋体" w:eastAsia="宋体" w:cs="宋体"/>
          <w:color w:val="333333"/>
          <w:sz w:val="28"/>
          <w:szCs w:val="28"/>
        </w:rPr>
        <w:t>以及一般设备购置费、办公用房水电费、办公用房取暖费、办公用房物业管理费、公务用车运行维护费以及其他费用。</w:t>
      </w:r>
    </w:p>
    <w:p>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textAlignment w:val="auto"/>
        <w:outlineLvl w:val="9"/>
        <w:rPr>
          <w:rFonts w:ascii="宋体" w:hAnsi="宋体" w:eastAsia="宋体" w:cs="宋体"/>
          <w:color w:val="333333"/>
          <w:sz w:val="28"/>
          <w:szCs w:val="28"/>
        </w:rPr>
      </w:pPr>
      <w:r>
        <w:rPr>
          <w:rFonts w:hint="eastAsia" w:ascii="宋体" w:hAnsi="宋体" w:eastAsia="宋体" w:cs="宋体"/>
          <w:color w:val="333333"/>
          <w:sz w:val="28"/>
          <w:szCs w:val="28"/>
        </w:rPr>
        <w:t>二、一盘公共预算三公经费支出情况：</w:t>
      </w:r>
    </w:p>
    <w:p>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textAlignment w:val="auto"/>
        <w:outlineLvl w:val="9"/>
        <w:rPr>
          <w:rFonts w:ascii="宋体" w:hAnsi="宋体" w:eastAsia="宋体" w:cs="宋体"/>
          <w:color w:val="333333"/>
          <w:sz w:val="28"/>
          <w:szCs w:val="28"/>
        </w:rPr>
      </w:pPr>
      <w:r>
        <w:rPr>
          <w:rFonts w:hint="eastAsia" w:ascii="宋体" w:hAnsi="宋体" w:eastAsia="宋体" w:cs="宋体"/>
          <w:color w:val="333333"/>
          <w:sz w:val="28"/>
          <w:szCs w:val="28"/>
        </w:rPr>
        <w:t>2018年度公务接待费是4518元，比上年多了118元，主要是开展创建全国民族团结进步示范县，开展业务推进接待村镇业务员支出。</w:t>
      </w:r>
    </w:p>
    <w:p>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textAlignment w:val="auto"/>
        <w:outlineLvl w:val="9"/>
        <w:rPr>
          <w:rFonts w:ascii="宋体" w:hAnsi="宋体" w:eastAsia="宋体" w:cs="宋体"/>
          <w:color w:val="333333"/>
          <w:sz w:val="28"/>
          <w:szCs w:val="28"/>
        </w:rPr>
      </w:pPr>
      <w:r>
        <w:rPr>
          <w:rFonts w:hint="eastAsia" w:ascii="宋体" w:hAnsi="宋体" w:eastAsia="宋体" w:cs="宋体"/>
          <w:color w:val="333333"/>
          <w:sz w:val="28"/>
          <w:szCs w:val="28"/>
        </w:rPr>
        <w:t>三、三公经费增减变化原因等说明是：</w:t>
      </w:r>
    </w:p>
    <w:p>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textAlignment w:val="auto"/>
        <w:outlineLvl w:val="9"/>
        <w:rPr>
          <w:rFonts w:ascii="宋体" w:hAnsi="宋体" w:eastAsia="宋体" w:cs="宋体"/>
          <w:color w:val="333333"/>
          <w:sz w:val="28"/>
          <w:szCs w:val="28"/>
        </w:rPr>
      </w:pPr>
      <w:r>
        <w:rPr>
          <w:rFonts w:hint="eastAsia" w:ascii="宋体" w:hAnsi="宋体" w:eastAsia="宋体" w:cs="宋体"/>
          <w:color w:val="333333"/>
          <w:sz w:val="28"/>
          <w:szCs w:val="28"/>
        </w:rPr>
        <w:t>机关运行经费安排，2018年机关运行经费4.22万元主要用于办公费0.32万元，电费0.45万元，差旅费0.79万元，印刷费0.58万元，电费0.18，邮电费0.23万元，公务接待费0.45万元，工会经费1.52万元，离退休公用经费0.04万元。2017年机关运行经费4.23万元 ，比上年减少了0.01万元，减少率0.23%，减少原因是工作经费。</w:t>
      </w:r>
    </w:p>
    <w:p>
      <w:pPr>
        <w:keepNext w:val="0"/>
        <w:keepLines w:val="0"/>
        <w:pageBreakBefore w:val="0"/>
        <w:widowControl/>
        <w:kinsoku/>
        <w:wordWrap/>
        <w:overflowPunct/>
        <w:topLinePunct w:val="0"/>
        <w:autoSpaceDE/>
        <w:autoSpaceDN/>
        <w:bidi w:val="0"/>
        <w:spacing w:after="0" w:line="360" w:lineRule="auto"/>
        <w:ind w:left="0" w:leftChars="0" w:right="0" w:rightChars="0"/>
        <w:textAlignment w:val="auto"/>
        <w:outlineLvl w:val="9"/>
        <w:rPr>
          <w:rFonts w:hint="eastAsia"/>
          <w:sz w:val="28"/>
          <w:szCs w:val="28"/>
        </w:rPr>
      </w:pPr>
      <w:r>
        <w:rPr>
          <w:rFonts w:hint="eastAsia"/>
          <w:sz w:val="28"/>
          <w:szCs w:val="28"/>
        </w:rPr>
        <w:t xml:space="preserve">     </w:t>
      </w:r>
    </w:p>
    <w:p>
      <w:pPr>
        <w:keepNext w:val="0"/>
        <w:keepLines w:val="0"/>
        <w:pageBreakBefore w:val="0"/>
        <w:widowControl/>
        <w:kinsoku/>
        <w:wordWrap/>
        <w:overflowPunct/>
        <w:topLinePunct w:val="0"/>
        <w:autoSpaceDE/>
        <w:autoSpaceDN/>
        <w:bidi w:val="0"/>
        <w:spacing w:after="0" w:line="360" w:lineRule="auto"/>
        <w:ind w:left="0" w:leftChars="0" w:right="0" w:rightChars="0"/>
        <w:textAlignment w:val="auto"/>
        <w:outlineLvl w:val="9"/>
        <w:rPr>
          <w:rFonts w:hint="eastAsia"/>
          <w:sz w:val="28"/>
          <w:szCs w:val="28"/>
        </w:rPr>
      </w:pPr>
    </w:p>
    <w:p>
      <w:pPr>
        <w:keepNext w:val="0"/>
        <w:keepLines w:val="0"/>
        <w:pageBreakBefore w:val="0"/>
        <w:widowControl/>
        <w:kinsoku/>
        <w:wordWrap/>
        <w:overflowPunct/>
        <w:topLinePunct w:val="0"/>
        <w:autoSpaceDE/>
        <w:autoSpaceDN/>
        <w:bidi w:val="0"/>
        <w:spacing w:after="0" w:line="360" w:lineRule="auto"/>
        <w:ind w:left="0" w:leftChars="0" w:right="0" w:rightChars="0"/>
        <w:jc w:val="center"/>
        <w:textAlignment w:val="auto"/>
        <w:outlineLvl w:val="9"/>
        <w:rPr>
          <w:sz w:val="28"/>
          <w:szCs w:val="28"/>
        </w:rPr>
      </w:pPr>
    </w:p>
    <w:p>
      <w:pPr>
        <w:keepNext w:val="0"/>
        <w:keepLines w:val="0"/>
        <w:pageBreakBefore w:val="0"/>
        <w:widowControl/>
        <w:kinsoku/>
        <w:wordWrap/>
        <w:overflowPunct/>
        <w:topLinePunct w:val="0"/>
        <w:autoSpaceDE/>
        <w:autoSpaceDN/>
        <w:bidi w:val="0"/>
        <w:spacing w:after="0" w:line="360" w:lineRule="auto"/>
        <w:ind w:left="0" w:leftChars="0" w:right="0" w:rightChars="0"/>
        <w:textAlignment w:val="auto"/>
        <w:outlineLvl w:val="9"/>
        <w:rPr>
          <w:sz w:val="28"/>
          <w:szCs w:val="28"/>
        </w:rPr>
      </w:pPr>
    </w:p>
    <w:p>
      <w:pPr>
        <w:keepNext w:val="0"/>
        <w:keepLines w:val="0"/>
        <w:pageBreakBefore w:val="0"/>
        <w:widowControl/>
        <w:kinsoku/>
        <w:wordWrap/>
        <w:overflowPunct/>
        <w:topLinePunct w:val="0"/>
        <w:autoSpaceDE/>
        <w:autoSpaceDN/>
        <w:bidi w:val="0"/>
        <w:spacing w:after="0" w:line="360" w:lineRule="auto"/>
        <w:ind w:left="0" w:leftChars="0" w:right="0" w:rightChars="0"/>
        <w:textAlignment w:val="auto"/>
        <w:outlineLvl w:val="9"/>
        <w:rPr>
          <w:sz w:val="28"/>
          <w:szCs w:val="28"/>
        </w:rPr>
      </w:pPr>
      <w:r>
        <w:rPr>
          <w:rFonts w:hint="eastAsia"/>
          <w:sz w:val="28"/>
          <w:szCs w:val="28"/>
        </w:rPr>
        <w:t xml:space="preserve">                                                                                            </w:t>
      </w:r>
    </w:p>
    <w:p>
      <w:pPr>
        <w:keepNext w:val="0"/>
        <w:keepLines w:val="0"/>
        <w:pageBreakBefore w:val="0"/>
        <w:widowControl/>
        <w:kinsoku/>
        <w:wordWrap/>
        <w:overflowPunct/>
        <w:topLinePunct w:val="0"/>
        <w:autoSpaceDE/>
        <w:autoSpaceDN/>
        <w:bidi w:val="0"/>
        <w:spacing w:after="0" w:line="360" w:lineRule="auto"/>
        <w:ind w:left="0" w:leftChars="0" w:right="0" w:rightChars="0"/>
        <w:textAlignment w:val="auto"/>
        <w:outlineLvl w:val="9"/>
        <w:rPr>
          <w:sz w:val="28"/>
          <w:szCs w:val="28"/>
        </w:rPr>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D31D50"/>
    <w:rsid w:val="0008492A"/>
    <w:rsid w:val="001C50C3"/>
    <w:rsid w:val="00323B43"/>
    <w:rsid w:val="003D37D8"/>
    <w:rsid w:val="00426133"/>
    <w:rsid w:val="004358AB"/>
    <w:rsid w:val="008B7726"/>
    <w:rsid w:val="00B93CE9"/>
    <w:rsid w:val="00D31D50"/>
    <w:rsid w:val="00F06A53"/>
    <w:rsid w:val="48775B2B"/>
    <w:rsid w:val="68FE1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unhideWhenUsed/>
    <w:qFormat/>
    <w:uiPriority w:val="1"/>
  </w:style>
  <w:style w:type="table" w:default="1" w:styleId="2">
    <w:name w:val="Normal Table"/>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196</Words>
  <Characters>1120</Characters>
  <Lines>9</Lines>
  <Paragraphs>2</Paragraphs>
  <TotalTime>1</TotalTime>
  <ScaleCrop>false</ScaleCrop>
  <LinksUpToDate>false</LinksUpToDate>
  <CharactersWithSpaces>1314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寸伶玲</cp:lastModifiedBy>
  <dcterms:modified xsi:type="dcterms:W3CDTF">2024-03-26T01:28:59Z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3EA38F523A71452FAB24C87FADFE2A3E</vt:lpwstr>
  </property>
</Properties>
</file>