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梁河县财政局关于下达2024年优抚对象</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补助中央经费预算（第一批）的通知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提高预算完整性，加快支出进度，根据《德宏州财政局关于提前下达2024年优抚对象补助中央经费预算（第一批）的通知》（德财社〔2023〕226号），现下达你单位2024年优抚对象补助中央经费预算（第一批）（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项指标收入列入2024年政府收支分类科目“1100248社会保障和就业共同财政事权转移支付收入”科目，支出列入“20808抚恤”科目（详见附件1），政府及部门支出经济分类科目，请根据该项目要求和实际情况按照《预算法》和财政资金相关管理规定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此次安排资金主要用于两个方面：一是伤残人员（含残疾军人、伤残人民警察、伤残国家机关工作人员、伤残民兵民工）、“三属”（烈士、因公牺牲和病故军人家属）、在乡老复员军人、带病回乡退伍军人、在农村的和城镇无工作单位且家庭生活困难的参战退役人员、部分原8023部队及其他参加核试验军队退役人员，以及符合条件的农村籍退役士兵、老烈士子女（含</w:t>
      </w:r>
      <w:r>
        <w:rPr>
          <w:rFonts w:hint="eastAsia" w:ascii="Times New Roman" w:hAnsi="Times New Roman" w:eastAsia="方正仿宋_GBK" w:cs="Times New Roman"/>
          <w:sz w:val="32"/>
          <w:szCs w:val="32"/>
          <w:lang w:val="en-US" w:eastAsia="zh-CN"/>
        </w:rPr>
        <w:t>中华人民共和国成立前</w:t>
      </w:r>
      <w:r>
        <w:rPr>
          <w:rFonts w:hint="default" w:ascii="Times New Roman" w:hAnsi="Times New Roman" w:eastAsia="方正仿宋_GBK" w:cs="Times New Roman"/>
          <w:sz w:val="32"/>
          <w:szCs w:val="32"/>
          <w:lang w:val="en-US" w:eastAsia="zh-CN"/>
        </w:rPr>
        <w:t>错杀后被平反人员的子女）、参与铀矿开采军队退役人员等人员抚恤和生活补助支出。二是建国前入党的农村老党员和未享受离退休待遇的城镇老党员生活补贴支出。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的资金为直达资金，该项直达资金的标识为“01中央直达资金”，各部门在下达直达资金预算指标时，项目名称应与上级财政部门预算指标发文中的有关项目保持一致，并准确标注直达资金标识；及时在指标管理系统中登录有关指标和直达资金标识，导入直达资金监控系统，确保数据真实、账目清晰、流向明确。对于资金来源既包含中央直达资金又包含地方对应安排资金的项目，在预算指标文件、指标管理系统可按资金明细来源分别列示，在指标系统中分别登录；同时切实加快资金支出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四、各部门要按规定的补助标准，统筹使用好中央财政</w:t>
      </w:r>
      <w:r>
        <w:rPr>
          <w:sz w:val="32"/>
        </w:rPr>
        <mc:AlternateContent>
          <mc:Choice Requires="wps">
            <w:drawing>
              <wp:anchor distT="0" distB="0" distL="114300" distR="114300" simplePos="0" relativeHeight="251659264"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59264;v-text-anchor:middle;mso-width-relative:page;mso-height-relative:page;" fillcolor="#FFFFFF" filled="t" stroked="t" coordsize="21600,21600" o:gfxdata="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ZgwJK3AAAAA8BAAAPAAAAAAAAAAEAIAAAACIAAABkcnMv&#10;ZG93bnJldi54bWxQSwECFAAUAAAACACHTuJA26UA2n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和中央管理的党费安排的补助资金，以及地方安排的补助资金，及时将资金发放到位，并加强资金管理，加快预算执行进度。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五、请各部门按照《中共中央 国务院关于全面实施预算绩效管理的意见》的要求，做好绩效运行监控，切实提高财政资金使用效益，确保财政资金使用安全有效。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附件：1.2024年优抚对象中央补助经费预算（第一</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批）分配表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2.2024年优抚对象中央补助经费预算（第一</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批）绩效目标表</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日</w:t>
      </w:r>
    </w:p>
    <w:p>
      <w:pPr>
        <w:pStyle w:val="2"/>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val="en-US" w:eastAsia="zh-CN"/>
        </w:rPr>
        <w:sectPr>
          <w:footerReference r:id="rId3" w:type="default"/>
          <w:pgSz w:w="11906" w:h="16838"/>
          <w:pgMar w:top="1440" w:right="1803" w:bottom="1440" w:left="1803" w:header="851" w:footer="992" w:gutter="0"/>
          <w:cols w:space="0" w:num="1"/>
          <w:rtlGutter w:val="0"/>
          <w:docGrid w:type="lines" w:linePitch="325"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附件</w:t>
      </w: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eastAsia="方正仿宋_GBK"/>
          <w:b/>
          <w:bCs/>
          <w:sz w:val="32"/>
          <w:szCs w:val="32"/>
          <w:lang w:val="en-US" w:eastAsia="zh-CN"/>
        </w:rPr>
      </w:pPr>
      <w:r>
        <w:rPr>
          <w:rFonts w:hint="eastAsia" w:eastAsia="方正仿宋_GBK"/>
          <w:b/>
          <w:bCs/>
          <w:sz w:val="32"/>
          <w:szCs w:val="32"/>
          <w:lang w:val="en-US" w:eastAsia="zh-CN"/>
        </w:rPr>
        <w:t>2024年优抚对象中央补助经费预算（第一批）分配表</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仿宋_GB2312" w:hAnsi="仿宋_GB2312"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right"/>
        <w:textAlignment w:val="auto"/>
        <w:rPr>
          <w:rFonts w:hint="eastAsia" w:ascii="仿宋_GB2312" w:hAnsi="仿宋_GB2312" w:eastAsia="仿宋_GB2312" w:cs="Times New Roman"/>
          <w:b/>
          <w:bCs/>
          <w:sz w:val="32"/>
          <w:szCs w:val="32"/>
          <w:lang w:eastAsia="zh-CN"/>
        </w:rPr>
      </w:pPr>
      <w:r>
        <w:rPr>
          <w:rFonts w:hint="eastAsia" w:ascii="仿宋_GB2312" w:hAnsi="仿宋_GB2312" w:eastAsia="仿宋_GB2312" w:cs="Times New Roman"/>
          <w:b/>
          <w:bCs/>
          <w:sz w:val="32"/>
          <w:szCs w:val="32"/>
          <w:lang w:eastAsia="zh-CN"/>
        </w:rPr>
        <w:t>单位：万元</w:t>
      </w:r>
    </w:p>
    <w:p>
      <w:pPr>
        <w:keepNext w:val="0"/>
        <w:keepLines w:val="0"/>
        <w:widowControl/>
        <w:suppressLineNumbers w:val="0"/>
        <w:jc w:val="left"/>
        <w:textAlignment w:val="center"/>
        <w:rPr>
          <w:rFonts w:hint="default" w:ascii="宋体" w:hAnsi="宋体" w:eastAsia="宋体" w:cs="宋体"/>
          <w:b/>
          <w:bCs/>
          <w:i w:val="0"/>
          <w:color w:val="000000"/>
          <w:kern w:val="0"/>
          <w:sz w:val="20"/>
          <w:szCs w:val="20"/>
          <w:u w:val="none"/>
          <w:lang w:val="en-US" w:eastAsia="zh-CN" w:bidi="ar"/>
        </w:rPr>
      </w:pP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207"/>
        <w:gridCol w:w="2448"/>
        <w:gridCol w:w="2462"/>
        <w:gridCol w:w="2745"/>
        <w:gridCol w:w="2915"/>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b/>
                <w:bCs/>
                <w:sz w:val="24"/>
                <w:szCs w:val="24"/>
                <w:lang w:eastAsia="zh-CN"/>
              </w:rPr>
            </w:pPr>
            <w:r>
              <w:rPr>
                <w:rFonts w:hint="eastAsia" w:ascii="仿宋_GB2312" w:hAnsi="仿宋_GB2312"/>
                <w:b/>
                <w:bCs/>
                <w:sz w:val="24"/>
                <w:szCs w:val="24"/>
                <w:lang w:eastAsia="zh-CN"/>
              </w:rPr>
              <w:t>单位</w:t>
            </w:r>
          </w:p>
        </w:tc>
        <w:tc>
          <w:tcPr>
            <w:tcW w:w="426" w:type="pct"/>
            <w:vMerge w:val="restart"/>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sz w:val="24"/>
                <w:szCs w:val="24"/>
              </w:rPr>
            </w:pPr>
            <w:r>
              <w:rPr>
                <w:rFonts w:ascii="仿宋_GB2312" w:hAnsi="仿宋_GB2312"/>
                <w:b/>
                <w:bCs/>
                <w:sz w:val="24"/>
                <w:szCs w:val="24"/>
              </w:rPr>
              <w:t>经费合计</w:t>
            </w:r>
          </w:p>
        </w:tc>
        <w:tc>
          <w:tcPr>
            <w:tcW w:w="3731" w:type="pct"/>
            <w:gridSpan w:val="4"/>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中央抚恤补助经费</w:t>
            </w:r>
            <w:r>
              <w:rPr>
                <w:rFonts w:hint="eastAsia" w:ascii="仿宋_GB2312" w:hAnsi="仿宋_GB2312" w:eastAsia="宋体" w:cs="Times New Roman"/>
                <w:b/>
                <w:bCs/>
                <w:sz w:val="24"/>
                <w:szCs w:val="24"/>
                <w:lang w:eastAsia="zh-CN"/>
              </w:rPr>
              <w:t>（政府预算功能分类科目）</w:t>
            </w:r>
          </w:p>
        </w:tc>
        <w:tc>
          <w:tcPr>
            <w:tcW w:w="423" w:type="pct"/>
            <w:vMerge w:val="restart"/>
            <w:tcBorders>
              <w:top w:val="single" w:color="auto" w:sz="4" w:space="0"/>
              <w:left w:val="nil"/>
              <w:right w:val="single" w:color="auto" w:sz="4" w:space="0"/>
            </w:tcBorders>
            <w:noWrap w:val="0"/>
            <w:vAlign w:val="center"/>
          </w:tcPr>
          <w:p>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sz w:val="24"/>
                <w:szCs w:val="24"/>
                <w:lang w:eastAsia="zh-CN"/>
              </w:rPr>
            </w:pPr>
          </w:p>
        </w:tc>
        <w:tc>
          <w:tcPr>
            <w:tcW w:w="426" w:type="pct"/>
            <w:vMerge w:val="continue"/>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sz w:val="24"/>
                <w:szCs w:val="24"/>
              </w:rPr>
            </w:pPr>
          </w:p>
        </w:tc>
        <w:tc>
          <w:tcPr>
            <w:tcW w:w="864" w:type="pct"/>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伤残抚恤</w:t>
            </w:r>
          </w:p>
          <w:p>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（2080802伤残抚恤）</w:t>
            </w:r>
          </w:p>
        </w:tc>
        <w:tc>
          <w:tcPr>
            <w:tcW w:w="869" w:type="pct"/>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死亡抚恤</w:t>
            </w:r>
          </w:p>
          <w:p>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（2080801死亡抚恤）</w:t>
            </w:r>
          </w:p>
        </w:tc>
        <w:tc>
          <w:tcPr>
            <w:tcW w:w="969" w:type="pct"/>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宋体" w:cs="Times New Roman"/>
                <w:b/>
                <w:bCs/>
                <w:sz w:val="24"/>
                <w:szCs w:val="24"/>
                <w:lang w:eastAsia="zh-CN"/>
              </w:rPr>
            </w:pPr>
            <w:r>
              <w:rPr>
                <w:rFonts w:ascii="仿宋_GB2312" w:hAnsi="仿宋_GB2312" w:eastAsia="宋体" w:cs="Times New Roman"/>
                <w:b/>
                <w:bCs/>
                <w:sz w:val="24"/>
                <w:szCs w:val="24"/>
              </w:rPr>
              <w:t>在乡复员退伍军人生活补助</w:t>
            </w:r>
            <w:r>
              <w:rPr>
                <w:rFonts w:hint="eastAsia" w:ascii="仿宋_GB2312" w:hAnsi="仿宋_GB2312" w:eastAsia="宋体" w:cs="Times New Roman"/>
                <w:b/>
                <w:bCs/>
                <w:sz w:val="24"/>
                <w:szCs w:val="24"/>
                <w:lang w:eastAsia="zh-CN"/>
              </w:rPr>
              <w:t>（2080803在乡复员退伍军人生活补助）</w:t>
            </w:r>
          </w:p>
        </w:tc>
        <w:tc>
          <w:tcPr>
            <w:tcW w:w="1028" w:type="pct"/>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其他优抚支出</w:t>
            </w:r>
          </w:p>
          <w:p>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（2080899其他优抚支出）</w:t>
            </w:r>
          </w:p>
        </w:tc>
        <w:tc>
          <w:tcPr>
            <w:tcW w:w="423" w:type="pct"/>
            <w:vMerge w:val="continue"/>
            <w:tcBorders>
              <w:left w:val="nil"/>
              <w:bottom w:val="single" w:color="auto" w:sz="4" w:space="0"/>
              <w:right w:val="single" w:color="auto" w:sz="4" w:space="0"/>
            </w:tcBorders>
            <w:noWrap w:val="0"/>
            <w:vAlign w:val="center"/>
          </w:tcPr>
          <w:p>
            <w:pPr>
              <w:jc w:val="center"/>
              <w:rPr>
                <w:rFonts w:ascii="仿宋_GB2312" w:hAnsi="仿宋_GB2312"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sz w:val="24"/>
                <w:szCs w:val="24"/>
                <w:lang w:eastAsia="zh-CN"/>
              </w:rPr>
            </w:pPr>
            <w:r>
              <w:rPr>
                <w:rFonts w:hint="default" w:ascii="仿宋_GB2312" w:hAnsi="仿宋_GB2312"/>
                <w:sz w:val="24"/>
                <w:szCs w:val="24"/>
                <w:lang w:eastAsia="zh-CN"/>
              </w:rPr>
              <w:t>梁河县</w:t>
            </w:r>
            <w:r>
              <w:rPr>
                <w:rFonts w:hint="eastAsia" w:ascii="仿宋_GB2312" w:hAnsi="仿宋_GB2312"/>
                <w:sz w:val="24"/>
                <w:szCs w:val="24"/>
                <w:lang w:eastAsia="zh-CN"/>
              </w:rPr>
              <w:t>退役军人事务局</w:t>
            </w:r>
          </w:p>
        </w:tc>
        <w:tc>
          <w:tcPr>
            <w:tcW w:w="426"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467.8</w:t>
            </w:r>
          </w:p>
        </w:tc>
        <w:tc>
          <w:tcPr>
            <w:tcW w:w="864"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69.03</w:t>
            </w:r>
          </w:p>
        </w:tc>
        <w:tc>
          <w:tcPr>
            <w:tcW w:w="86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26.63</w:t>
            </w:r>
          </w:p>
        </w:tc>
        <w:tc>
          <w:tcPr>
            <w:tcW w:w="96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141.65</w:t>
            </w:r>
          </w:p>
        </w:tc>
        <w:tc>
          <w:tcPr>
            <w:tcW w:w="102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kern w:val="0"/>
                <w:sz w:val="24"/>
                <w:szCs w:val="24"/>
                <w:u w:val="none"/>
                <w:lang w:val="en-US" w:eastAsia="zh-CN" w:bidi="ar"/>
              </w:rPr>
            </w:pPr>
            <w:r>
              <w:rPr>
                <w:rFonts w:hint="eastAsia" w:ascii="Times New Roman" w:hAnsi="Times New Roman" w:eastAsia="方正仿宋_GBK" w:cs="Times New Roman"/>
                <w:b w:val="0"/>
                <w:bCs/>
                <w:i w:val="0"/>
                <w:color w:val="000000"/>
                <w:kern w:val="0"/>
                <w:sz w:val="24"/>
                <w:szCs w:val="24"/>
                <w:u w:val="none"/>
                <w:lang w:val="en-US" w:eastAsia="zh-CN" w:bidi="ar"/>
              </w:rPr>
              <w:t>230.49</w:t>
            </w:r>
          </w:p>
        </w:tc>
        <w:tc>
          <w:tcPr>
            <w:tcW w:w="42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ascii="仿宋_GB2312" w:hAnsi="仿宋_GB2312"/>
                <w:sz w:val="24"/>
                <w:szCs w:val="24"/>
              </w:rPr>
              <w:t>按</w:t>
            </w:r>
            <w:r>
              <w:rPr>
                <w:rFonts w:hint="eastAsia" w:ascii="仿宋_GB2312" w:hAnsi="仿宋_GB2312"/>
                <w:sz w:val="24"/>
                <w:szCs w:val="24"/>
                <w:lang w:eastAsia="zh-CN"/>
              </w:rPr>
              <w:t>照</w:t>
            </w:r>
            <w:r>
              <w:rPr>
                <w:rFonts w:ascii="仿宋_GB2312" w:hAnsi="仿宋_GB2312"/>
                <w:sz w:val="24"/>
                <w:szCs w:val="24"/>
              </w:rPr>
              <w:t>各县市优抚对象人数分配资金。</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pPr>
        <w:rPr>
          <w:rFonts w:hint="eastAsia" w:ascii="Times New Roman" w:hAnsi="Times New Roman" w:eastAsia="方正黑体_GBK" w:cs="Times New Roman"/>
          <w:b w:val="0"/>
          <w:bCs/>
          <w:color w:val="auto"/>
          <w:sz w:val="32"/>
          <w:lang w:eastAsia="zh-CN"/>
        </w:rPr>
      </w:pPr>
      <w:r>
        <w:rPr>
          <w:rFonts w:hint="default" w:ascii="Times New Roman" w:hAnsi="Times New Roman" w:eastAsia="方正黑体_GBK" w:cs="Times New Roman"/>
          <w:b w:val="0"/>
          <w:bCs/>
          <w:color w:val="auto"/>
          <w:sz w:val="32"/>
        </w:rPr>
        <w:t>附件2</w:t>
      </w:r>
      <w:r>
        <w:rPr>
          <w:rFonts w:hint="eastAsia" w:ascii="Times New Roman" w:hAnsi="Times New Roman" w:eastAsia="方正黑体_GBK" w:cs="Times New Roman"/>
          <w:b w:val="0"/>
          <w:bCs/>
          <w:color w:val="auto"/>
          <w:sz w:val="32"/>
          <w:lang w:eastAsia="zh-CN"/>
        </w:rPr>
        <w:t>：</w:t>
      </w:r>
    </w:p>
    <w:p>
      <w:pPr>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下达2024年优抚对象补助经费中央经费预算</w:t>
      </w:r>
    </w:p>
    <w:p>
      <w:pPr>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（第一批）绩效目标表</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197"/>
        <w:gridCol w:w="1982"/>
        <w:gridCol w:w="329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17"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rPr>
              <w:t>项目名称</w:t>
            </w:r>
          </w:p>
        </w:tc>
        <w:tc>
          <w:tcPr>
            <w:tcW w:w="278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优抚对象补助经费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17"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spacing w:val="0"/>
                <w:kern w:val="0"/>
                <w:sz w:val="24"/>
                <w:szCs w:val="24"/>
                <w:lang w:eastAsia="zh-CN"/>
              </w:rPr>
              <w:t>项目实施</w:t>
            </w:r>
            <w:r>
              <w:rPr>
                <w:rFonts w:hint="default" w:ascii="Times New Roman" w:hAnsi="Times New Roman" w:eastAsia="方正仿宋_GBK" w:cs="Times New Roman"/>
                <w:color w:val="auto"/>
                <w:spacing w:val="0"/>
                <w:kern w:val="0"/>
                <w:sz w:val="24"/>
                <w:szCs w:val="24"/>
              </w:rPr>
              <w:t>部门</w:t>
            </w:r>
          </w:p>
        </w:tc>
        <w:tc>
          <w:tcPr>
            <w:tcW w:w="2782"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德宏州</w:t>
            </w:r>
            <w:r>
              <w:rPr>
                <w:rFonts w:hint="default" w:ascii="Times New Roman" w:hAnsi="Times New Roman" w:eastAsia="方正仿宋_GBK" w:cs="Times New Roman"/>
                <w:color w:val="auto"/>
                <w:kern w:val="0"/>
                <w:sz w:val="24"/>
                <w:szCs w:val="24"/>
                <w:lang w:eastAsia="zh-CN"/>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217" w:type="pct"/>
            <w:gridSpan w:val="3"/>
            <w:tcBorders>
              <w:top w:val="nil"/>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4"/>
                <w:szCs w:val="24"/>
                <w:lang w:eastAsia="zh-CN"/>
              </w:rPr>
              <w:t>项目</w:t>
            </w:r>
            <w:r>
              <w:rPr>
                <w:rFonts w:hint="default" w:ascii="Times New Roman" w:hAnsi="Times New Roman" w:eastAsia="方正仿宋_GBK" w:cs="Times New Roman"/>
                <w:color w:val="auto"/>
                <w:kern w:val="0"/>
                <w:sz w:val="24"/>
                <w:szCs w:val="24"/>
              </w:rPr>
              <w:t>资金</w:t>
            </w:r>
            <w:r>
              <w:rPr>
                <w:rFonts w:hint="eastAsia" w:ascii="Times New Roman" w:hAnsi="Times New Roman" w:eastAsia="方正仿宋_GBK" w:cs="Times New Roman"/>
                <w:color w:val="auto"/>
                <w:kern w:val="0"/>
                <w:sz w:val="24"/>
                <w:szCs w:val="24"/>
                <w:lang w:eastAsia="zh-CN"/>
              </w:rPr>
              <w:t>（万元）</w:t>
            </w:r>
          </w:p>
        </w:tc>
        <w:tc>
          <w:tcPr>
            <w:tcW w:w="2782"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2911.11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6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年度总体目标</w:t>
            </w:r>
          </w:p>
        </w:tc>
        <w:tc>
          <w:tcPr>
            <w:tcW w:w="4537"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color w:val="auto"/>
                <w:kern w:val="2"/>
                <w:sz w:val="24"/>
                <w:szCs w:val="24"/>
                <w:lang w:eastAsia="zh-CN"/>
              </w:rPr>
            </w:pPr>
            <w:r>
              <w:rPr>
                <w:rFonts w:hint="eastAsia" w:ascii="Times New Roman" w:hAnsi="Times New Roman" w:eastAsia="方正仿宋_GBK" w:cs="Times New Roman"/>
                <w:color w:val="auto"/>
                <w:kern w:val="0"/>
                <w:sz w:val="24"/>
                <w:szCs w:val="24"/>
                <w:lang w:eastAsia="zh-CN"/>
              </w:rPr>
              <w:t>有效保障优抚对象等人员的基本生活，体现对该群体的社会尊崇</w:t>
            </w:r>
            <w:r>
              <w:rPr>
                <w:rFonts w:hint="default" w:ascii="Times New Roman" w:hAnsi="Times New Roman" w:eastAsia="方正仿宋_GBK"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62" w:type="pct"/>
            <w:vMerge w:val="restart"/>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color w:val="auto"/>
                <w:kern w:val="2"/>
                <w:sz w:val="24"/>
                <w:szCs w:val="24"/>
              </w:rPr>
            </w:pPr>
          </w:p>
          <w:p>
            <w:pPr>
              <w:jc w:val="center"/>
              <w:rPr>
                <w:rFonts w:hint="default" w:ascii="Times New Roman" w:hAnsi="Times New Roman" w:eastAsia="方正仿宋_GBK" w:cs="Times New Roman"/>
                <w:color w:val="auto"/>
                <w:kern w:val="0"/>
                <w:sz w:val="24"/>
                <w:szCs w:val="24"/>
              </w:rPr>
            </w:pPr>
          </w:p>
          <w:p>
            <w:pPr>
              <w:jc w:val="center"/>
              <w:rPr>
                <w:rFonts w:hint="default" w:ascii="Times New Roman" w:hAnsi="Times New Roman" w:eastAsia="方正仿宋_GBK" w:cs="Times New Roman"/>
                <w:color w:val="auto"/>
                <w:kern w:val="0"/>
                <w:sz w:val="24"/>
                <w:szCs w:val="24"/>
              </w:rPr>
            </w:pPr>
          </w:p>
          <w:p>
            <w:pPr>
              <w:jc w:val="center"/>
              <w:rPr>
                <w:rFonts w:hint="default" w:ascii="Times New Roman" w:hAnsi="Times New Roman" w:eastAsia="方正仿宋_GBK" w:cs="Times New Roman"/>
                <w:color w:val="auto"/>
                <w:kern w:val="0"/>
                <w:sz w:val="24"/>
                <w:szCs w:val="24"/>
              </w:rPr>
            </w:pPr>
          </w:p>
          <w:p>
            <w:pPr>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绩</w:t>
            </w:r>
          </w:p>
          <w:p>
            <w:pPr>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效</w:t>
            </w:r>
          </w:p>
          <w:p>
            <w:pPr>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目</w:t>
            </w:r>
          </w:p>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标</w:t>
            </w:r>
          </w:p>
        </w:tc>
        <w:tc>
          <w:tcPr>
            <w:tcW w:w="661"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一级指标</w:t>
            </w:r>
          </w:p>
        </w:tc>
        <w:tc>
          <w:tcPr>
            <w:tcW w:w="1092"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二级指标</w:t>
            </w:r>
          </w:p>
        </w:tc>
        <w:tc>
          <w:tcPr>
            <w:tcW w:w="1819"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eastAsia" w:ascii="Times New Roman" w:hAnsi="Times New Roman" w:eastAsia="方正仿宋_GBK" w:cs="Times New Roman"/>
                <w:color w:val="auto"/>
                <w:kern w:val="0"/>
                <w:sz w:val="24"/>
                <w:szCs w:val="24"/>
                <w:lang w:eastAsia="zh-CN"/>
              </w:rPr>
              <w:t>三</w:t>
            </w:r>
            <w:r>
              <w:rPr>
                <w:rFonts w:hint="default" w:ascii="Times New Roman" w:hAnsi="Times New Roman" w:eastAsia="方正仿宋_GBK" w:cs="Times New Roman"/>
                <w:color w:val="auto"/>
                <w:kern w:val="0"/>
                <w:sz w:val="24"/>
                <w:szCs w:val="24"/>
              </w:rPr>
              <w:t>级指标</w:t>
            </w:r>
          </w:p>
        </w:tc>
        <w:tc>
          <w:tcPr>
            <w:tcW w:w="963"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6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4"/>
                <w:szCs w:val="24"/>
              </w:rPr>
            </w:pPr>
          </w:p>
        </w:tc>
        <w:tc>
          <w:tcPr>
            <w:tcW w:w="661" w:type="pct"/>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p>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产出指标</w:t>
            </w:r>
          </w:p>
        </w:tc>
        <w:tc>
          <w:tcPr>
            <w:tcW w:w="1092" w:type="pct"/>
            <w:tcBorders>
              <w:top w:val="nil"/>
              <w:left w:val="nil"/>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数量指标</w:t>
            </w:r>
          </w:p>
        </w:tc>
        <w:tc>
          <w:tcPr>
            <w:tcW w:w="1819" w:type="pct"/>
            <w:tcBorders>
              <w:top w:val="single" w:color="auto" w:sz="4" w:space="0"/>
              <w:left w:val="nil"/>
              <w:right w:val="single" w:color="auto" w:sz="4" w:space="0"/>
            </w:tcBorders>
            <w:noWrap w:val="0"/>
            <w:vAlign w:val="center"/>
          </w:tcPr>
          <w:p>
            <w:pPr>
              <w:jc w:val="left"/>
              <w:rPr>
                <w:rFonts w:hint="default" w:ascii="Times New Roman" w:hAnsi="Times New Roman" w:eastAsia="方正仿宋_GBK" w:cs="Times New Roman"/>
                <w:color w:val="auto"/>
                <w:spacing w:val="-20"/>
                <w:kern w:val="2"/>
                <w:sz w:val="24"/>
                <w:szCs w:val="24"/>
                <w:lang w:val="en-US" w:eastAsia="zh-CN"/>
              </w:rPr>
            </w:pPr>
            <w:r>
              <w:rPr>
                <w:rFonts w:hint="eastAsia" w:ascii="Times New Roman" w:hAnsi="Times New Roman" w:eastAsia="方正仿宋_GBK" w:cs="Times New Roman"/>
                <w:color w:val="auto"/>
                <w:spacing w:val="-20"/>
                <w:kern w:val="2"/>
                <w:sz w:val="24"/>
                <w:szCs w:val="24"/>
                <w:lang w:eastAsia="zh-CN"/>
              </w:rPr>
              <w:t>优抚对象补助经费发放人数</w:t>
            </w:r>
          </w:p>
        </w:tc>
        <w:tc>
          <w:tcPr>
            <w:tcW w:w="96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2"/>
                <w:sz w:val="24"/>
                <w:szCs w:val="24"/>
              </w:rPr>
            </w:pPr>
            <w:r>
              <w:rPr>
                <w:rFonts w:hint="eastAsia" w:ascii="Times New Roman" w:hAnsi="Times New Roman" w:eastAsia="方正仿宋_GBK" w:cs="Times New Roman"/>
                <w:color w:val="auto"/>
                <w:kern w:val="0"/>
                <w:sz w:val="24"/>
                <w:szCs w:val="24"/>
                <w:lang w:val="en-US" w:eastAsia="zh-CN"/>
              </w:rPr>
              <w:t>≥0.3</w:t>
            </w:r>
            <w:r>
              <w:rPr>
                <w:rFonts w:hint="default" w:ascii="Times New Roman" w:hAnsi="Times New Roman" w:eastAsia="方正仿宋_GBK" w:cs="Times New Roman"/>
                <w:color w:val="auto"/>
                <w:kern w:val="0"/>
                <w:sz w:val="24"/>
                <w:szCs w:val="24"/>
                <w:lang w:val="en-US" w:eastAsia="zh-CN"/>
              </w:rPr>
              <w:t>万</w:t>
            </w:r>
            <w:r>
              <w:rPr>
                <w:rFonts w:hint="default" w:ascii="Times New Roman" w:hAnsi="Times New Roman" w:eastAsia="方正仿宋_GBK" w:cs="Times New Roman"/>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4"/>
                <w:szCs w:val="24"/>
              </w:rPr>
            </w:pPr>
          </w:p>
        </w:tc>
        <w:tc>
          <w:tcPr>
            <w:tcW w:w="661" w:type="pct"/>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auto"/>
                <w:kern w:val="2"/>
                <w:sz w:val="24"/>
                <w:szCs w:val="24"/>
              </w:rPr>
            </w:pPr>
          </w:p>
        </w:tc>
        <w:tc>
          <w:tcPr>
            <w:tcW w:w="1092" w:type="pct"/>
            <w:vMerge w:val="restart"/>
            <w:tcBorders>
              <w:left w:val="nil"/>
              <w:right w:val="single" w:color="auto" w:sz="4" w:space="0"/>
            </w:tcBorders>
            <w:noWrap w:val="0"/>
            <w:vAlign w:val="center"/>
          </w:tcPr>
          <w:p>
            <w:pPr>
              <w:jc w:val="center"/>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质量指标</w:t>
            </w:r>
          </w:p>
        </w:tc>
        <w:tc>
          <w:tcPr>
            <w:tcW w:w="1819" w:type="pct"/>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lang w:eastAsia="zh-CN"/>
              </w:rPr>
              <w:t>经费足额拨付率</w:t>
            </w:r>
          </w:p>
        </w:tc>
        <w:tc>
          <w:tcPr>
            <w:tcW w:w="963"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4"/>
                <w:szCs w:val="24"/>
              </w:rPr>
            </w:pPr>
          </w:p>
        </w:tc>
        <w:tc>
          <w:tcPr>
            <w:tcW w:w="661" w:type="pct"/>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auto"/>
                <w:kern w:val="2"/>
                <w:sz w:val="24"/>
                <w:szCs w:val="24"/>
              </w:rPr>
            </w:pPr>
          </w:p>
        </w:tc>
        <w:tc>
          <w:tcPr>
            <w:tcW w:w="1092" w:type="pct"/>
            <w:vMerge w:val="continue"/>
            <w:tcBorders>
              <w:left w:val="nil"/>
              <w:bottom w:val="single" w:color="auto" w:sz="4" w:space="0"/>
              <w:right w:val="single" w:color="auto" w:sz="4" w:space="0"/>
            </w:tcBorders>
            <w:noWrap w:val="0"/>
            <w:vAlign w:val="center"/>
          </w:tcPr>
          <w:p>
            <w:pPr>
              <w:jc w:val="center"/>
              <w:rPr>
                <w:rFonts w:hint="eastAsia" w:ascii="Times New Roman" w:hAnsi="Times New Roman" w:eastAsia="方正仿宋_GBK" w:cs="Times New Roman"/>
                <w:color w:val="auto"/>
                <w:kern w:val="0"/>
                <w:sz w:val="24"/>
                <w:szCs w:val="24"/>
                <w:lang w:eastAsia="zh-CN"/>
              </w:rPr>
            </w:pPr>
          </w:p>
        </w:tc>
        <w:tc>
          <w:tcPr>
            <w:tcW w:w="181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各类优抚对象补助标准按规定执行率</w:t>
            </w:r>
          </w:p>
        </w:tc>
        <w:tc>
          <w:tcPr>
            <w:tcW w:w="96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6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4"/>
                <w:szCs w:val="24"/>
              </w:rPr>
            </w:pPr>
          </w:p>
        </w:tc>
        <w:tc>
          <w:tcPr>
            <w:tcW w:w="661" w:type="pct"/>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auto"/>
                <w:kern w:val="2"/>
                <w:sz w:val="24"/>
                <w:szCs w:val="24"/>
              </w:rPr>
            </w:pPr>
          </w:p>
        </w:tc>
        <w:tc>
          <w:tcPr>
            <w:tcW w:w="1092"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时效指标</w:t>
            </w:r>
          </w:p>
        </w:tc>
        <w:tc>
          <w:tcPr>
            <w:tcW w:w="181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lang w:eastAsia="zh-CN"/>
              </w:rPr>
              <w:t>优抚对象补助</w:t>
            </w:r>
            <w:r>
              <w:rPr>
                <w:rFonts w:hint="eastAsia" w:ascii="Times New Roman" w:hAnsi="Times New Roman" w:eastAsia="方正仿宋_GBK" w:cs="Times New Roman"/>
                <w:color w:val="auto"/>
                <w:kern w:val="0"/>
                <w:sz w:val="24"/>
                <w:szCs w:val="24"/>
                <w:lang w:eastAsia="zh-CN"/>
              </w:rPr>
              <w:t>经费</w:t>
            </w:r>
            <w:r>
              <w:rPr>
                <w:rFonts w:hint="default" w:ascii="Times New Roman" w:hAnsi="Times New Roman" w:eastAsia="方正仿宋_GBK" w:cs="Times New Roman"/>
                <w:color w:val="auto"/>
                <w:kern w:val="0"/>
                <w:sz w:val="24"/>
                <w:szCs w:val="24"/>
                <w:lang w:eastAsia="zh-CN"/>
              </w:rPr>
              <w:t>及时拨付率</w:t>
            </w:r>
          </w:p>
        </w:tc>
        <w:tc>
          <w:tcPr>
            <w:tcW w:w="96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4"/>
                <w:szCs w:val="24"/>
              </w:rPr>
            </w:pPr>
          </w:p>
        </w:tc>
        <w:tc>
          <w:tcPr>
            <w:tcW w:w="661" w:type="pc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效益指标</w:t>
            </w:r>
          </w:p>
        </w:tc>
        <w:tc>
          <w:tcPr>
            <w:tcW w:w="1092" w:type="pc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rPr>
              <w:t>社会效益指</w:t>
            </w:r>
            <w:r>
              <w:rPr>
                <w:rFonts w:hint="eastAsia" w:ascii="Times New Roman" w:hAnsi="Times New Roman" w:eastAsia="方正仿宋_GBK" w:cs="Times New Roman"/>
                <w:color w:val="auto"/>
                <w:kern w:val="0"/>
                <w:sz w:val="24"/>
                <w:szCs w:val="24"/>
                <w:lang w:eastAsia="zh-CN"/>
              </w:rPr>
              <w:t>标</w:t>
            </w:r>
          </w:p>
        </w:tc>
        <w:tc>
          <w:tcPr>
            <w:tcW w:w="1819" w:type="pc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rPr>
            </w:pPr>
            <w:r>
              <w:rPr>
                <w:rFonts w:hint="eastAsia" w:ascii="Times New Roman" w:hAnsi="Times New Roman" w:eastAsia="方正仿宋_GBK" w:cs="Times New Roman"/>
                <w:color w:val="auto"/>
                <w:kern w:val="0"/>
                <w:sz w:val="24"/>
                <w:szCs w:val="24"/>
                <w:lang w:eastAsia="zh-CN"/>
              </w:rPr>
              <w:t>优抚对象生活情况</w:t>
            </w:r>
            <w:r>
              <w:rPr>
                <w:rFonts w:hint="eastAsia" w:ascii="Times New Roman" w:hAnsi="Times New Roman" w:eastAsia="方正仿宋_GBK" w:cs="Times New Roman"/>
                <w:color w:val="auto"/>
                <w:kern w:val="0"/>
                <w:sz w:val="24"/>
                <w:szCs w:val="24"/>
                <w:lang w:val="en-US" w:eastAsia="zh-CN"/>
              </w:rPr>
              <w:t xml:space="preserve">  </w:t>
            </w:r>
          </w:p>
        </w:tc>
        <w:tc>
          <w:tcPr>
            <w:tcW w:w="96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eastAsia" w:ascii="东文宋体" w:hAnsi="东文宋体" w:eastAsia="东文宋体" w:cs="东文宋体"/>
                <w:color w:val="auto"/>
                <w:kern w:val="0"/>
                <w:sz w:val="24"/>
                <w:szCs w:val="24"/>
                <w:lang w:val="en-US" w:eastAsia="zh-CN"/>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4"/>
                <w:szCs w:val="24"/>
              </w:rPr>
            </w:pPr>
          </w:p>
        </w:tc>
        <w:tc>
          <w:tcPr>
            <w:tcW w:w="66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10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服务对象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181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优抚对象满意</w:t>
            </w:r>
            <w:r>
              <w:rPr>
                <w:rFonts w:hint="eastAsia" w:ascii="Times New Roman" w:hAnsi="Times New Roman" w:eastAsia="方正仿宋_GBK" w:cs="Times New Roman"/>
                <w:color w:val="auto"/>
                <w:kern w:val="0"/>
                <w:sz w:val="24"/>
                <w:szCs w:val="24"/>
                <w:lang w:eastAsia="zh-CN"/>
              </w:rPr>
              <w:t>率</w:t>
            </w:r>
            <w:r>
              <w:rPr>
                <w:rFonts w:hint="default" w:ascii="Times New Roman" w:hAnsi="Times New Roman" w:eastAsia="方正仿宋_GBK" w:cs="Times New Roman"/>
                <w:color w:val="auto"/>
                <w:kern w:val="0"/>
                <w:sz w:val="24"/>
                <w:szCs w:val="24"/>
              </w:rPr>
              <w:t>度</w:t>
            </w:r>
          </w:p>
        </w:tc>
        <w:tc>
          <w:tcPr>
            <w:tcW w:w="96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eastAsia" w:ascii="东文宋体" w:hAnsi="东文宋体" w:eastAsia="东文宋体" w:cs="东文宋体"/>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90</w:t>
            </w:r>
            <w:r>
              <w:rPr>
                <w:rFonts w:hint="default" w:ascii="Times New Roman" w:hAnsi="Times New Roman" w:eastAsia="方正仿宋_GBK" w:cs="Times New Roman"/>
                <w:color w:val="auto"/>
                <w:kern w:val="0"/>
                <w:sz w:val="24"/>
                <w:szCs w:val="24"/>
              </w:rPr>
              <w:t>%</w:t>
            </w:r>
          </w:p>
        </w:tc>
      </w:tr>
    </w:tbl>
    <w:p>
      <w:pPr>
        <w:rPr>
          <w:rFonts w:hint="default" w:ascii="Times New Roman" w:hAnsi="Times New Roman" w:eastAsia="仿宋_GB2312" w:cs="Times New Roman"/>
          <w:b/>
          <w:color w:val="auto"/>
          <w:sz w:val="32"/>
        </w:rPr>
      </w:pPr>
    </w:p>
    <w:p>
      <w:pPr>
        <w:tabs>
          <w:tab w:val="left" w:pos="1188"/>
        </w:tabs>
        <w:spacing w:line="360" w:lineRule="auto"/>
        <w:ind w:firstLine="280" w:firstLineChars="100"/>
        <w:rPr>
          <w:rFonts w:hint="eastAsia" w:ascii="Times New Roman" w:hAnsi="Times New Roman" w:eastAsia="方正仿宋_GBK" w:cs="Times New Roman"/>
          <w:color w:val="auto"/>
          <w:sz w:val="28"/>
          <w:szCs w:val="28"/>
          <w:lang w:eastAsia="zh-CN"/>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4" w:type="default"/>
      <w:footerReference r:id="rId5" w:type="even"/>
      <w:pgSz w:w="11906" w:h="16838"/>
      <w:pgMar w:top="2098" w:right="1474" w:bottom="1984" w:left="1587" w:header="1418" w:footer="1134" w:gutter="0"/>
      <w:cols w:space="720" w:num="1"/>
      <w:docGrid w:linePitch="574"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869950" cy="2546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69950" cy="254635"/>
                      </a:xfrm>
                      <a:prstGeom prst="rect">
                        <a:avLst/>
                      </a:prstGeom>
                      <a:noFill/>
                      <a:ln>
                        <a:noFill/>
                      </a:ln>
                    </wps:spPr>
                    <wps:txbx>
                      <w:txbxContent>
                        <w:p>
                          <w:pPr>
                            <w:pStyle w:val="3"/>
                            <w:rPr>
                              <w:rFonts w:hint="eastAsia" w:eastAsia="宋体"/>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20.05pt;width:68.5pt;mso-position-horizontal:inside;mso-position-horizontal-relative:margin;z-index:251659264;mso-width-relative:page;mso-height-relative:page;" filled="f" stroked="f" coordsize="21600,21600" o:gfxdata="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RsMtMAAAAEAQAADwAAAAAAAAABACAAAAAiAAAAZHJzL2Rvd25yZXYueG1sUEsBAhQAFAAA&#10;AAgAh07iQOd37vG7AQAAcQMAAA4AAAAAAAAAAQAgAAAAIgEAAGRycy9lMm9Eb2MueG1sUEsFBgAA&#10;AAAGAAYAWQEAAE8FAAAAAA==&#10;">
              <v:fill on="f" focussize="0,0"/>
              <v:stroke on="f"/>
              <v:imagedata o:title=""/>
              <o:lock v:ext="edit" aspectratio="f"/>
              <v:textbox inset="0mm,0mm,0mm,0mm">
                <w:txbxContent>
                  <w:p>
                    <w:pPr>
                      <w:pStyle w:val="3"/>
                      <w:rPr>
                        <w:rFonts w:hint="eastAsia" w:eastAsia="宋体"/>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8D5D065-1835-4F27-A47F-893537A4DFDD}"/>
    <w:docVar w:name="DocumentName" w:val="梁财社〔2024〕6号梁河县财政局关于提前下达2024年优抚对象补助中央经费预算（第一批）的通知0101 中央直达资金"/>
  </w:docVars>
  <w:rsids>
    <w:rsidRoot w:val="00000000"/>
    <w:rsid w:val="00830B3A"/>
    <w:rsid w:val="031B02A5"/>
    <w:rsid w:val="038D368F"/>
    <w:rsid w:val="06007873"/>
    <w:rsid w:val="0786416F"/>
    <w:rsid w:val="09745825"/>
    <w:rsid w:val="09E911F1"/>
    <w:rsid w:val="0AE5706E"/>
    <w:rsid w:val="0B0A6A71"/>
    <w:rsid w:val="0B3F144C"/>
    <w:rsid w:val="0C83624D"/>
    <w:rsid w:val="0D3B7439"/>
    <w:rsid w:val="0D3F0EEB"/>
    <w:rsid w:val="0DBC559A"/>
    <w:rsid w:val="0E2142A1"/>
    <w:rsid w:val="0E834B5A"/>
    <w:rsid w:val="0EE61AFB"/>
    <w:rsid w:val="0FCB1CE9"/>
    <w:rsid w:val="102F7315"/>
    <w:rsid w:val="1091445F"/>
    <w:rsid w:val="11A6154D"/>
    <w:rsid w:val="11FC7480"/>
    <w:rsid w:val="12B67DF9"/>
    <w:rsid w:val="133144D7"/>
    <w:rsid w:val="13A6267C"/>
    <w:rsid w:val="13AB201A"/>
    <w:rsid w:val="14272167"/>
    <w:rsid w:val="148005FB"/>
    <w:rsid w:val="14EB2025"/>
    <w:rsid w:val="157818E8"/>
    <w:rsid w:val="161B1B31"/>
    <w:rsid w:val="18763BA5"/>
    <w:rsid w:val="19B16135"/>
    <w:rsid w:val="19CF3670"/>
    <w:rsid w:val="1A1E05BA"/>
    <w:rsid w:val="1A7D6D85"/>
    <w:rsid w:val="1B9D1623"/>
    <w:rsid w:val="1BDD4B9A"/>
    <w:rsid w:val="1C172982"/>
    <w:rsid w:val="1D815751"/>
    <w:rsid w:val="1DD646B6"/>
    <w:rsid w:val="1DEA7DC2"/>
    <w:rsid w:val="1E410309"/>
    <w:rsid w:val="1EA0242D"/>
    <w:rsid w:val="1EF15C06"/>
    <w:rsid w:val="1FC666FD"/>
    <w:rsid w:val="20741E90"/>
    <w:rsid w:val="2108113C"/>
    <w:rsid w:val="227A5B2F"/>
    <w:rsid w:val="23494274"/>
    <w:rsid w:val="240B4A1B"/>
    <w:rsid w:val="242117CE"/>
    <w:rsid w:val="249B10F2"/>
    <w:rsid w:val="25766390"/>
    <w:rsid w:val="25826657"/>
    <w:rsid w:val="25DD6C11"/>
    <w:rsid w:val="27327F13"/>
    <w:rsid w:val="279D33AE"/>
    <w:rsid w:val="27AC3A14"/>
    <w:rsid w:val="283B2521"/>
    <w:rsid w:val="28AC1ED8"/>
    <w:rsid w:val="29655F7C"/>
    <w:rsid w:val="2B4D5322"/>
    <w:rsid w:val="2C213B0E"/>
    <w:rsid w:val="2F10570F"/>
    <w:rsid w:val="2F2819F8"/>
    <w:rsid w:val="317967B1"/>
    <w:rsid w:val="320B6520"/>
    <w:rsid w:val="32572CB0"/>
    <w:rsid w:val="32CB2F7B"/>
    <w:rsid w:val="34E51D3A"/>
    <w:rsid w:val="3782629D"/>
    <w:rsid w:val="380657E0"/>
    <w:rsid w:val="39B17DE4"/>
    <w:rsid w:val="3A1145AF"/>
    <w:rsid w:val="3C1C0E43"/>
    <w:rsid w:val="3D1E75A7"/>
    <w:rsid w:val="3EAB7761"/>
    <w:rsid w:val="3F6049B7"/>
    <w:rsid w:val="3FB13205"/>
    <w:rsid w:val="40C50F64"/>
    <w:rsid w:val="414A183A"/>
    <w:rsid w:val="42253A94"/>
    <w:rsid w:val="422B0AC7"/>
    <w:rsid w:val="43FA3136"/>
    <w:rsid w:val="44D7423A"/>
    <w:rsid w:val="46AF3BC9"/>
    <w:rsid w:val="47CC6BDA"/>
    <w:rsid w:val="48007A55"/>
    <w:rsid w:val="49BF0020"/>
    <w:rsid w:val="4A14515D"/>
    <w:rsid w:val="4B6D20A7"/>
    <w:rsid w:val="4BE27134"/>
    <w:rsid w:val="4CF1183F"/>
    <w:rsid w:val="4D77008C"/>
    <w:rsid w:val="4D903DD3"/>
    <w:rsid w:val="4DE64F85"/>
    <w:rsid w:val="4E8C28E4"/>
    <w:rsid w:val="4EC24797"/>
    <w:rsid w:val="4F0E1D90"/>
    <w:rsid w:val="4FC41F46"/>
    <w:rsid w:val="505209FD"/>
    <w:rsid w:val="54FE12AD"/>
    <w:rsid w:val="55BE3C17"/>
    <w:rsid w:val="55CD5551"/>
    <w:rsid w:val="5620087B"/>
    <w:rsid w:val="581109A2"/>
    <w:rsid w:val="5A333888"/>
    <w:rsid w:val="5B2F6498"/>
    <w:rsid w:val="5B716388"/>
    <w:rsid w:val="5C226281"/>
    <w:rsid w:val="5D625B32"/>
    <w:rsid w:val="5D782B5D"/>
    <w:rsid w:val="5ED66A25"/>
    <w:rsid w:val="61353447"/>
    <w:rsid w:val="62FB3F34"/>
    <w:rsid w:val="6633285F"/>
    <w:rsid w:val="6A855C4B"/>
    <w:rsid w:val="6ADD475E"/>
    <w:rsid w:val="6BDF40EE"/>
    <w:rsid w:val="6E0C4A49"/>
    <w:rsid w:val="6E175BAB"/>
    <w:rsid w:val="6F3C324C"/>
    <w:rsid w:val="719515F5"/>
    <w:rsid w:val="73066F61"/>
    <w:rsid w:val="73262C99"/>
    <w:rsid w:val="73663EDE"/>
    <w:rsid w:val="73C2712E"/>
    <w:rsid w:val="75277D66"/>
    <w:rsid w:val="76460B34"/>
    <w:rsid w:val="76514837"/>
    <w:rsid w:val="76B8261D"/>
    <w:rsid w:val="78117866"/>
    <w:rsid w:val="78451356"/>
    <w:rsid w:val="78A94A62"/>
    <w:rsid w:val="7AAB789B"/>
    <w:rsid w:val="7BA30EF9"/>
    <w:rsid w:val="7C6061A4"/>
    <w:rsid w:val="7CF81C30"/>
    <w:rsid w:val="7DB83FEE"/>
    <w:rsid w:val="7EC17EF9"/>
    <w:rsid w:val="7ECD794D"/>
    <w:rsid w:val="7EF07283"/>
    <w:rsid w:val="7F8C21BC"/>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Times New Roman" w:hAnsi="Times New Roman" w:eastAsia="宋体" w:cs="Times New Roman"/>
    </w:rPr>
  </w:style>
  <w:style w:type="character" w:customStyle="1" w:styleId="9">
    <w:name w:val="font21"/>
    <w:basedOn w:val="7"/>
    <w:qFormat/>
    <w:uiPriority w:val="0"/>
    <w:rPr>
      <w:rFonts w:hint="eastAsia" w:ascii="宋体" w:hAnsi="宋体" w:eastAsia="宋体" w:cs="宋体"/>
      <w:color w:val="000000"/>
      <w:sz w:val="18"/>
      <w:szCs w:val="18"/>
      <w:u w:val="none"/>
    </w:rPr>
  </w:style>
  <w:style w:type="character" w:customStyle="1" w:styleId="10">
    <w:name w:val="font3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b/>
      <w:color w:val="000000"/>
      <w:sz w:val="20"/>
      <w:szCs w:val="20"/>
      <w:u w:val="none"/>
    </w:rPr>
  </w:style>
  <w:style w:type="character" w:customStyle="1" w:styleId="12">
    <w:name w:val="font41"/>
    <w:basedOn w:val="7"/>
    <w:qFormat/>
    <w:uiPriority w:val="0"/>
    <w:rPr>
      <w:rFonts w:hint="default" w:ascii="Times New Roman" w:hAnsi="Times New Roman" w:eastAsia="宋体" w:cs="Times New Roman"/>
      <w:color w:val="000000"/>
      <w:sz w:val="22"/>
      <w:szCs w:val="22"/>
      <w:u w:val="none"/>
    </w:rPr>
  </w:style>
  <w:style w:type="character" w:customStyle="1" w:styleId="13">
    <w:name w:val="font71"/>
    <w:basedOn w:val="7"/>
    <w:qFormat/>
    <w:uiPriority w:val="0"/>
    <w:rPr>
      <w:rFonts w:hint="eastAsia" w:ascii="宋体" w:hAnsi="宋体" w:eastAsia="宋体" w:cs="宋体"/>
      <w:color w:val="000000"/>
      <w:sz w:val="28"/>
      <w:szCs w:val="28"/>
      <w:u w:val="none"/>
    </w:rPr>
  </w:style>
  <w:style w:type="character" w:customStyle="1" w:styleId="14">
    <w:name w:val="font11"/>
    <w:basedOn w:val="7"/>
    <w:qFormat/>
    <w:uiPriority w:val="0"/>
    <w:rPr>
      <w:rFonts w:hint="default" w:ascii="仿宋_GB2312" w:eastAsia="仿宋_GB2312" w:cs="仿宋_GB2312"/>
      <w:color w:val="000000"/>
      <w:sz w:val="30"/>
      <w:szCs w:val="30"/>
      <w:u w:val="none"/>
    </w:rPr>
  </w:style>
  <w:style w:type="paragraph" w:customStyle="1" w:styleId="15">
    <w:name w:val="图表目录1"/>
    <w:basedOn w:val="16"/>
    <w:next w:val="1"/>
    <w:qFormat/>
    <w:uiPriority w:val="0"/>
    <w:pPr>
      <w:ind w:left="200" w:leftChars="200" w:hanging="200" w:hangingChars="200"/>
    </w:pPr>
    <w:rPr>
      <w:rFonts w:ascii="Calibri" w:hAnsi="Calibri"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花花世界</cp:lastModifiedBy>
  <cp:lastPrinted>2024-01-10T02:17:00Z</cp:lastPrinted>
  <dcterms:modified xsi:type="dcterms:W3CDTF">2024-05-09T03:54:29Z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9D4830E4FA234745A9EED62B2666965A</vt:lpwstr>
  </property>
</Properties>
</file>