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bCs/>
          <w:spacing w:val="0"/>
          <w:sz w:val="44"/>
          <w:szCs w:val="44"/>
          <w:lang w:val="en-US" w:eastAsia="zh-CN"/>
        </w:rPr>
      </w:pPr>
      <w:bookmarkStart w:id="0" w:name="_GoBack"/>
      <w:bookmarkEnd w:id="0"/>
      <w:r>
        <w:rPr>
          <w:rFonts w:hint="default" w:ascii="Times New Roman" w:hAnsi="Times New Roman" w:eastAsia="方正小标宋_GBK" w:cs="Times New Roman"/>
          <w:bCs/>
          <w:spacing w:val="0"/>
          <w:sz w:val="44"/>
          <w:szCs w:val="44"/>
          <w:lang w:val="en-US" w:eastAsia="zh-CN"/>
        </w:rPr>
        <w:t>梁河县财政局关于下达2023年</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bCs/>
          <w:spacing w:val="0"/>
          <w:sz w:val="44"/>
          <w:szCs w:val="44"/>
          <w:lang w:val="en-US" w:eastAsia="zh-CN"/>
        </w:rPr>
        <w:t>中央优抚对象医疗保障经费的通知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梁河县退役军人事务局：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根据《德宏州财政局关于下达2023年中央优抚对象医疗保障经费的通知》（德财社〔2023〕187号），现下达你单位2023年中央优抚对象医疗保障经费（具体金额详见附件），现将有关事项通知如下，请认真贯彻落实。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此次下达资金主要用于落实优抚对象医疗待遇和解决优抚对象医疗困难问题，一是用于1至6级残疾军人参加城镇职工基本医疗保险和建立补充医疗保障，医疗补助标准按人均每年2000元核定；二是用于7至10级残疾军人、在</w:t>
      </w:r>
      <w:r>
        <w:rPr>
          <w:sz w:val="32"/>
        </w:rPr>
        <mc:AlternateContent>
          <mc:Choice Requires="wps">
            <w:drawing>
              <wp:anchor distT="0" distB="0" distL="114300" distR="114300" simplePos="0" relativeHeight="251659264" behindDoc="1" locked="0" layoutInCell="1" hidden="1" allowOverlap="1">
                <wp:simplePos x="0" y="0"/>
                <wp:positionH relativeFrom="column">
                  <wp:posOffset>-4925060</wp:posOffset>
                </wp:positionH>
                <wp:positionV relativeFrom="paragraph">
                  <wp:posOffset>-6260465</wp:posOffset>
                </wp:positionV>
                <wp:extent cx="15120620" cy="21384260"/>
                <wp:effectExtent l="0" t="0" r="0" b="0"/>
                <wp:wrapNone/>
                <wp:docPr id="7"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8pt;margin-top:-492.95pt;height:1683.8pt;width:1190.6pt;visibility:hidden;z-index:-251657216;v-text-anchor:middle;mso-width-relative:page;mso-height-relative:page;" fillcolor="#FFFFFF" filled="t" stroked="t" coordsize="21600,21600" o:gfxdata="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S2DM49oAAAAPAQAADwAAAAAAAAABACAAAAAiAAAA&#10;ZHJzL2Rvd25yZXYueG1sUEsBAhQAFAAAAAgAh07iQFyCXOx3AgAAPAUAAA4AAAAAAAAAAQAgAAAA&#10;KQEAAGRycy9lMm9Eb2MueG1sUEsFBgAAAAAGAAYAWQEAABIGA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乡复员军人、烈士遗属、因公牺牲军人遗属、病故军人遗属、带病回乡退伍军人参战退役人员和参试退役人员医疗补助资金，按各县市补助对象人数核定。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二、该项指标收入列入“1100249医疗卫生共同财政事权转移支付收入”，支出列入“2101401优抚对象医疗补助”，政府及部门支出经济分类科目，请根据该项目要求和实际情况按照《</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三、此次安排资金为直达资金，同时切实加快资金支出进度，确保于2023年度内形成支出。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四、请各部门按照《中共中央 国务院关于全面实施预算绩效管理的意见》要求，切实提高财政资金使用效益，在组织预算执行中对照区域绩效目标做好绩效监控，确保年度绩效目标如期实现。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附件：1.2023年中央优抚对象医疗保障经费分配表</w:t>
      </w:r>
    </w:p>
    <w:p>
      <w:pPr>
        <w:keepNext w:val="0"/>
        <w:keepLines w:val="0"/>
        <w:pageBreakBefore w:val="0"/>
        <w:widowControl w:val="0"/>
        <w:kinsoku/>
        <w:wordWrap/>
        <w:overflowPunct/>
        <w:topLinePunct w:val="0"/>
        <w:autoSpaceDE/>
        <w:autoSpaceDN/>
        <w:bidi w:val="0"/>
        <w:adjustRightInd/>
        <w:spacing w:line="52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2.2023年中央优抚对象医疗保障经费绩效目标表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color w:val="000000"/>
          <w:kern w:val="0"/>
          <w:sz w:val="32"/>
          <w:szCs w:val="32"/>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22日</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sectPr>
          <w:footerReference r:id="rId3" w:type="default"/>
          <w:pgSz w:w="11906" w:h="16838"/>
          <w:pgMar w:top="1440" w:right="1803" w:bottom="1440" w:left="1803" w:header="851" w:footer="992" w:gutter="0"/>
          <w:cols w:space="0" w:num="1"/>
          <w:rtlGutter w:val="0"/>
          <w:docGrid w:type="lines" w:linePitch="332" w:charSpace="0"/>
        </w:sect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2023年</w:t>
      </w:r>
      <w:r>
        <w:rPr>
          <w:rFonts w:hint="default" w:ascii="Times New Roman" w:hAnsi="Times New Roman" w:eastAsia="黑体" w:cs="Times New Roman"/>
          <w:sz w:val="32"/>
          <w:szCs w:val="32"/>
          <w:lang w:eastAsia="zh-CN"/>
        </w:rPr>
        <w:t>中央</w:t>
      </w:r>
      <w:r>
        <w:rPr>
          <w:rFonts w:hint="default" w:ascii="Times New Roman" w:hAnsi="Times New Roman" w:eastAsia="黑体" w:cs="Times New Roman"/>
          <w:sz w:val="32"/>
          <w:szCs w:val="32"/>
        </w:rPr>
        <w:t>优抚对象医疗保障经费分配表</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单位：万元</w:t>
      </w:r>
    </w:p>
    <w:tbl>
      <w:tblPr>
        <w:tblStyle w:val="4"/>
        <w:tblpPr w:leftFromText="180" w:rightFromText="180" w:vertAnchor="text" w:horzAnchor="page" w:tblpX="1065" w:tblpY="8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0"/>
        <w:gridCol w:w="3550"/>
        <w:gridCol w:w="3826"/>
        <w:gridCol w:w="2225"/>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val="0"/>
                <w:bCs/>
                <w:sz w:val="28"/>
                <w:szCs w:val="28"/>
                <w:lang w:val="en-US" w:eastAsia="zh-CN"/>
              </w:rPr>
            </w:pPr>
            <w:r>
              <w:rPr>
                <w:rFonts w:hint="default" w:ascii="Times New Roman" w:hAnsi="Times New Roman" w:eastAsia="方正仿宋_GBK" w:cs="Times New Roman"/>
                <w:b w:val="0"/>
                <w:bCs/>
                <w:sz w:val="28"/>
                <w:szCs w:val="28"/>
                <w:lang w:val="en-US" w:eastAsia="zh-CN"/>
              </w:rPr>
              <w:t>单位</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val="0"/>
                <w:bCs/>
                <w:sz w:val="28"/>
                <w:szCs w:val="28"/>
                <w:lang w:eastAsia="zh-CN"/>
              </w:rPr>
            </w:pPr>
            <w:r>
              <w:rPr>
                <w:rFonts w:hint="default" w:ascii="Times New Roman" w:hAnsi="Times New Roman" w:eastAsia="方正仿宋_GBK" w:cs="Times New Roman"/>
                <w:b w:val="0"/>
                <w:bCs/>
                <w:sz w:val="28"/>
                <w:szCs w:val="28"/>
                <w:lang w:eastAsia="zh-CN"/>
              </w:rPr>
              <w:t>已提前下达资金</w:t>
            </w:r>
          </w:p>
          <w:p>
            <w:pPr>
              <w:jc w:val="center"/>
              <w:rPr>
                <w:rFonts w:hint="default" w:ascii="Times New Roman" w:hAnsi="Times New Roman" w:eastAsia="方正仿宋_GBK" w:cs="Times New Roman"/>
                <w:b w:val="0"/>
                <w:bCs/>
                <w:sz w:val="28"/>
                <w:szCs w:val="28"/>
                <w:lang w:val="en-US" w:eastAsia="zh-CN"/>
              </w:rPr>
            </w:pPr>
            <w:r>
              <w:rPr>
                <w:rFonts w:hint="default" w:ascii="Times New Roman" w:hAnsi="Times New Roman" w:eastAsia="方正仿宋_GBK" w:cs="Times New Roman"/>
                <w:b w:val="0"/>
                <w:bCs/>
                <w:sz w:val="28"/>
                <w:szCs w:val="28"/>
                <w:lang w:eastAsia="zh-CN"/>
              </w:rPr>
              <w:t>德财社〔</w:t>
            </w:r>
            <w:r>
              <w:rPr>
                <w:rFonts w:hint="default" w:ascii="Times New Roman" w:hAnsi="Times New Roman" w:eastAsia="方正仿宋_GBK" w:cs="Times New Roman"/>
                <w:b w:val="0"/>
                <w:bCs/>
                <w:sz w:val="28"/>
                <w:szCs w:val="28"/>
                <w:lang w:val="en-US" w:eastAsia="zh-CN"/>
              </w:rPr>
              <w:t>2022</w:t>
            </w:r>
            <w:r>
              <w:rPr>
                <w:rFonts w:hint="default" w:ascii="Times New Roman" w:hAnsi="Times New Roman" w:eastAsia="方正仿宋_GBK" w:cs="Times New Roman"/>
                <w:b w:val="0"/>
                <w:bCs/>
                <w:sz w:val="28"/>
                <w:szCs w:val="28"/>
                <w:lang w:eastAsia="zh-CN"/>
              </w:rPr>
              <w:t>〕</w:t>
            </w:r>
            <w:r>
              <w:rPr>
                <w:rFonts w:hint="default" w:ascii="Times New Roman" w:hAnsi="Times New Roman" w:eastAsia="方正仿宋_GBK" w:cs="Times New Roman"/>
                <w:b w:val="0"/>
                <w:bCs/>
                <w:sz w:val="28"/>
                <w:szCs w:val="28"/>
                <w:lang w:val="en-US" w:eastAsia="zh-CN"/>
              </w:rPr>
              <w:t>217号</w:t>
            </w:r>
          </w:p>
        </w:tc>
        <w:tc>
          <w:tcPr>
            <w:tcW w:w="13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val="0"/>
                <w:bCs/>
                <w:sz w:val="28"/>
                <w:szCs w:val="28"/>
                <w:lang w:eastAsia="zh-CN"/>
              </w:rPr>
            </w:pPr>
            <w:r>
              <w:rPr>
                <w:rFonts w:hint="default" w:ascii="Times New Roman" w:hAnsi="Times New Roman" w:eastAsia="方正仿宋_GBK" w:cs="Times New Roman"/>
                <w:b w:val="0"/>
                <w:bCs/>
                <w:sz w:val="28"/>
                <w:szCs w:val="28"/>
                <w:lang w:eastAsia="zh-CN"/>
              </w:rPr>
              <w:t>本次下达资金</w:t>
            </w:r>
          </w:p>
        </w:tc>
        <w:tc>
          <w:tcPr>
            <w:tcW w:w="78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金额合计</w:t>
            </w:r>
          </w:p>
        </w:tc>
        <w:tc>
          <w:tcPr>
            <w:tcW w:w="42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6" w:type="pct"/>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方正仿宋_GBK" w:cs="Times New Roman"/>
                <w:sz w:val="28"/>
                <w:szCs w:val="28"/>
              </w:rPr>
            </w:pPr>
            <w:r>
              <w:rPr>
                <w:rFonts w:hint="default" w:ascii="Times New Roman" w:hAnsi="Times New Roman" w:eastAsia="仿宋_GB2312" w:cs="Times New Roman"/>
                <w:sz w:val="28"/>
                <w:szCs w:val="28"/>
                <w:lang w:eastAsia="zh-CN"/>
              </w:rPr>
              <w:t>梁河县退役军人事务局</w:t>
            </w:r>
          </w:p>
        </w:tc>
        <w:tc>
          <w:tcPr>
            <w:tcW w:w="125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24.14</w:t>
            </w:r>
          </w:p>
        </w:tc>
        <w:tc>
          <w:tcPr>
            <w:tcW w:w="13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1.11</w:t>
            </w:r>
          </w:p>
        </w:tc>
        <w:tc>
          <w:tcPr>
            <w:tcW w:w="78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25.25</w:t>
            </w:r>
          </w:p>
        </w:tc>
        <w:tc>
          <w:tcPr>
            <w:tcW w:w="424" w:type="pct"/>
            <w:tcBorders>
              <w:top w:val="single" w:color="auto" w:sz="4" w:space="0"/>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8"/>
                <w:szCs w:val="28"/>
              </w:rPr>
            </w:pPr>
          </w:p>
        </w:tc>
      </w:tr>
    </w:tbl>
    <w:p>
      <w:pPr>
        <w:widowControl/>
        <w:jc w:val="left"/>
        <w:rPr>
          <w:rFonts w:hint="default" w:ascii="Times New Roman" w:hAnsi="Times New Roman" w:cs="Times New Roman"/>
          <w:sz w:val="28"/>
          <w:szCs w:val="28"/>
        </w:rPr>
      </w:pPr>
    </w:p>
    <w:p>
      <w:pPr>
        <w:widowControl/>
        <w:jc w:val="left"/>
        <w:rPr>
          <w:rFonts w:hint="default" w:ascii="Times New Roman" w:hAnsi="Times New Roman" w:cs="Times New Roman"/>
        </w:rPr>
        <w:sectPr>
          <w:footerReference r:id="rId4" w:type="default"/>
          <w:pgSz w:w="16838" w:h="11906" w:orient="landscape"/>
          <w:pgMar w:top="1797" w:right="1440" w:bottom="1797" w:left="1440" w:header="720" w:footer="720" w:gutter="0"/>
          <w:cols w:space="0" w:num="1"/>
          <w:rtlGutter w:val="0"/>
          <w:docGrid w:type="lines" w:linePitch="319" w:charSpace="0"/>
        </w:sectPr>
      </w:pPr>
    </w:p>
    <w:p>
      <w:pPr>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附件2</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2023年</w:t>
      </w:r>
      <w:r>
        <w:rPr>
          <w:rFonts w:hint="default" w:ascii="Times New Roman" w:hAnsi="Times New Roman" w:eastAsia="黑体" w:cs="Times New Roman"/>
          <w:sz w:val="32"/>
          <w:szCs w:val="32"/>
          <w:lang w:eastAsia="zh-CN"/>
        </w:rPr>
        <w:t>中央</w:t>
      </w:r>
      <w:r>
        <w:rPr>
          <w:rFonts w:hint="default" w:ascii="Times New Roman" w:hAnsi="Times New Roman" w:eastAsia="黑体" w:cs="Times New Roman"/>
          <w:sz w:val="32"/>
          <w:szCs w:val="32"/>
        </w:rPr>
        <w:t>优抚对象医疗保障经费绩效目标表</w:t>
      </w:r>
    </w:p>
    <w:tbl>
      <w:tblPr>
        <w:tblStyle w:val="5"/>
        <w:tblpPr w:leftFromText="180" w:rightFromText="180" w:vertAnchor="text" w:horzAnchor="page" w:tblpX="742" w:tblpY="139"/>
        <w:tblOverlap w:val="never"/>
        <w:tblW w:w="10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440"/>
        <w:gridCol w:w="1750"/>
        <w:gridCol w:w="4838"/>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0"/>
                <w:sz w:val="28"/>
                <w:szCs w:val="28"/>
              </w:rPr>
              <w:t>项目名称</w:t>
            </w:r>
          </w:p>
        </w:tc>
        <w:tc>
          <w:tcPr>
            <w:tcW w:w="62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lang w:eastAsia="zh-CN"/>
              </w:rPr>
              <w:t>2023年中央优抚对象医疗保障经费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150"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spacing w:val="0"/>
                <w:kern w:val="0"/>
                <w:sz w:val="28"/>
                <w:szCs w:val="28"/>
                <w:lang w:eastAsia="zh-CN"/>
              </w:rPr>
              <w:t>项目实施</w:t>
            </w:r>
            <w:r>
              <w:rPr>
                <w:rFonts w:hint="default" w:ascii="Times New Roman" w:hAnsi="Times New Roman" w:eastAsia="方正仿宋_GBK" w:cs="Times New Roman"/>
                <w:spacing w:val="0"/>
                <w:kern w:val="0"/>
                <w:sz w:val="28"/>
                <w:szCs w:val="28"/>
              </w:rPr>
              <w:t>部门</w:t>
            </w:r>
          </w:p>
        </w:tc>
        <w:tc>
          <w:tcPr>
            <w:tcW w:w="62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8"/>
                <w:szCs w:val="28"/>
              </w:rPr>
              <w:t>德宏州</w:t>
            </w:r>
            <w:r>
              <w:rPr>
                <w:rFonts w:hint="default" w:ascii="Times New Roman" w:hAnsi="Times New Roman" w:eastAsia="方正仿宋_GBK" w:cs="Times New Roman"/>
                <w:kern w:val="0"/>
                <w:sz w:val="28"/>
                <w:szCs w:val="28"/>
                <w:lang w:eastAsia="zh-CN"/>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150" w:type="dxa"/>
            <w:gridSpan w:val="3"/>
            <w:tcBorders>
              <w:top w:val="nil"/>
              <w:left w:val="single" w:color="auto" w:sz="4" w:space="0"/>
              <w:bottom w:val="single" w:color="auto" w:sz="4" w:space="0"/>
              <w:right w:val="single" w:color="auto" w:sz="4" w:space="0"/>
            </w:tcBorders>
            <w:noWrap w:val="0"/>
            <w:vAlign w:val="top"/>
          </w:tcPr>
          <w:p>
            <w:pPr>
              <w:jc w:val="center"/>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0"/>
                <w:sz w:val="28"/>
                <w:szCs w:val="28"/>
                <w:lang w:eastAsia="zh-CN"/>
              </w:rPr>
              <w:t>项目</w:t>
            </w:r>
            <w:r>
              <w:rPr>
                <w:rFonts w:hint="default" w:ascii="Times New Roman" w:hAnsi="Times New Roman" w:eastAsia="方正仿宋_GBK" w:cs="Times New Roman"/>
                <w:kern w:val="0"/>
                <w:sz w:val="28"/>
                <w:szCs w:val="28"/>
              </w:rPr>
              <w:t>资金</w:t>
            </w:r>
            <w:r>
              <w:rPr>
                <w:rFonts w:hint="default" w:ascii="Times New Roman" w:hAnsi="Times New Roman" w:eastAsia="方正仿宋_GBK" w:cs="Times New Roman"/>
                <w:kern w:val="0"/>
                <w:sz w:val="28"/>
                <w:szCs w:val="28"/>
                <w:lang w:eastAsia="zh-CN"/>
              </w:rPr>
              <w:t>（万元）</w:t>
            </w:r>
          </w:p>
        </w:tc>
        <w:tc>
          <w:tcPr>
            <w:tcW w:w="62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年度总体目标</w:t>
            </w:r>
          </w:p>
        </w:tc>
        <w:tc>
          <w:tcPr>
            <w:tcW w:w="9394" w:type="dxa"/>
            <w:gridSpan w:val="4"/>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0"/>
                <w:sz w:val="24"/>
                <w:szCs w:val="24"/>
                <w:lang w:eastAsia="zh-CN"/>
              </w:rPr>
              <w:t>通过发放优抚对象医疗补助资金，对优抚对象参保缴费、住院等费用进行补助，有效帮助解决优抚对象医疗难问题。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60" w:type="dxa"/>
            <w:vMerge w:val="restart"/>
            <w:tcBorders>
              <w:top w:val="nil"/>
              <w:left w:val="single" w:color="auto" w:sz="4" w:space="0"/>
              <w:bottom w:val="single" w:color="auto" w:sz="4" w:space="0"/>
              <w:right w:val="single" w:color="auto" w:sz="4" w:space="0"/>
            </w:tcBorders>
            <w:noWrap w:val="0"/>
            <w:vAlign w:val="top"/>
          </w:tcPr>
          <w:p>
            <w:pPr>
              <w:jc w:val="center"/>
              <w:rPr>
                <w:rFonts w:hint="default" w:ascii="Times New Roman" w:hAnsi="Times New Roman" w:eastAsia="方正仿宋_GBK" w:cs="Times New Roman"/>
                <w:kern w:val="2"/>
                <w:sz w:val="21"/>
              </w:rPr>
            </w:pPr>
          </w:p>
          <w:p>
            <w:pPr>
              <w:jc w:val="center"/>
              <w:rPr>
                <w:rFonts w:hint="default" w:ascii="Times New Roman" w:hAnsi="Times New Roman" w:eastAsia="方正仿宋_GBK" w:cs="Times New Roman"/>
                <w:kern w:val="0"/>
                <w:sz w:val="20"/>
              </w:rPr>
            </w:pPr>
          </w:p>
          <w:p>
            <w:pPr>
              <w:jc w:val="center"/>
              <w:rPr>
                <w:rFonts w:hint="default" w:ascii="Times New Roman" w:hAnsi="Times New Roman" w:eastAsia="方正仿宋_GBK" w:cs="Times New Roman"/>
                <w:kern w:val="0"/>
                <w:sz w:val="28"/>
                <w:szCs w:val="28"/>
              </w:rPr>
            </w:pPr>
          </w:p>
          <w:p>
            <w:pPr>
              <w:jc w:val="center"/>
              <w:rPr>
                <w:rFonts w:hint="default" w:ascii="Times New Roman" w:hAnsi="Times New Roman" w:eastAsia="方正仿宋_GBK" w:cs="Times New Roman"/>
                <w:kern w:val="0"/>
                <w:sz w:val="28"/>
                <w:szCs w:val="28"/>
              </w:rPr>
            </w:pPr>
          </w:p>
          <w:p>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绩</w:t>
            </w:r>
          </w:p>
          <w:p>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效</w:t>
            </w:r>
          </w:p>
          <w:p>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目</w:t>
            </w:r>
          </w:p>
          <w:p>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8"/>
                <w:szCs w:val="28"/>
              </w:rPr>
              <w:t>标</w:t>
            </w:r>
          </w:p>
        </w:tc>
        <w:tc>
          <w:tcPr>
            <w:tcW w:w="144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一级指标</w:t>
            </w:r>
          </w:p>
        </w:tc>
        <w:tc>
          <w:tcPr>
            <w:tcW w:w="175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二级指标</w:t>
            </w:r>
          </w:p>
        </w:tc>
        <w:tc>
          <w:tcPr>
            <w:tcW w:w="483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lang w:eastAsia="zh-CN"/>
              </w:rPr>
              <w:t>三</w:t>
            </w:r>
            <w:r>
              <w:rPr>
                <w:rFonts w:hint="default" w:ascii="Times New Roman" w:hAnsi="Times New Roman" w:eastAsia="方正仿宋_GBK" w:cs="Times New Roman"/>
                <w:kern w:val="0"/>
                <w:sz w:val="24"/>
                <w:szCs w:val="24"/>
              </w:rPr>
              <w:t>级指标</w:t>
            </w:r>
          </w:p>
        </w:tc>
        <w:tc>
          <w:tcPr>
            <w:tcW w:w="1366"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vMerge w:val="restart"/>
            <w:tcBorders>
              <w:top w:val="nil"/>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p>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产出指标</w:t>
            </w:r>
          </w:p>
        </w:tc>
        <w:tc>
          <w:tcPr>
            <w:tcW w:w="1750" w:type="dxa"/>
            <w:vMerge w:val="restart"/>
            <w:tcBorders>
              <w:top w:val="nil"/>
              <w:left w:val="nil"/>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数量指标</w:t>
            </w:r>
          </w:p>
        </w:tc>
        <w:tc>
          <w:tcPr>
            <w:tcW w:w="4838" w:type="dxa"/>
            <w:tcBorders>
              <w:top w:val="single" w:color="auto" w:sz="4" w:space="0"/>
              <w:left w:val="nil"/>
              <w:right w:val="single" w:color="auto" w:sz="4" w:space="0"/>
            </w:tcBorders>
            <w:noWrap w:val="0"/>
            <w:vAlign w:val="center"/>
          </w:tcPr>
          <w:p>
            <w:pPr>
              <w:jc w:val="left"/>
              <w:rPr>
                <w:rFonts w:hint="default" w:ascii="Times New Roman" w:hAnsi="Times New Roman" w:eastAsia="方正仿宋_GBK" w:cs="Times New Roman"/>
                <w:spacing w:val="-20"/>
                <w:kern w:val="2"/>
                <w:sz w:val="24"/>
                <w:szCs w:val="24"/>
                <w:lang w:val="en-US" w:eastAsia="zh-CN"/>
              </w:rPr>
            </w:pPr>
            <w:r>
              <w:rPr>
                <w:rFonts w:hint="default" w:ascii="Times New Roman" w:hAnsi="Times New Roman" w:eastAsia="方正仿宋_GBK" w:cs="Times New Roman"/>
                <w:spacing w:val="-20"/>
                <w:kern w:val="2"/>
                <w:sz w:val="24"/>
                <w:szCs w:val="24"/>
                <w:lang w:eastAsia="zh-CN"/>
              </w:rPr>
              <w:t>符合资助参保条件的</w:t>
            </w:r>
            <w:r>
              <w:rPr>
                <w:rFonts w:hint="default" w:ascii="Times New Roman" w:hAnsi="Times New Roman" w:eastAsia="方正仿宋_GBK" w:cs="Times New Roman"/>
                <w:spacing w:val="-20"/>
                <w:kern w:val="2"/>
                <w:sz w:val="24"/>
                <w:szCs w:val="24"/>
                <w:lang w:val="en-US" w:eastAsia="zh-CN"/>
              </w:rPr>
              <w:t>1级至6级残疾军人实际职工基本医疗保险参保</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vMerge w:val="continue"/>
            <w:tcBorders>
              <w:left w:val="nil"/>
              <w:right w:val="single" w:color="auto" w:sz="4" w:space="0"/>
            </w:tcBorders>
            <w:noWrap w:val="0"/>
            <w:vAlign w:val="center"/>
          </w:tcPr>
          <w:p>
            <w:pPr>
              <w:jc w:val="center"/>
              <w:rPr>
                <w:rFonts w:hint="default" w:ascii="Times New Roman" w:hAnsi="Times New Roman" w:eastAsia="方正仿宋_GBK" w:cs="Times New Roman"/>
                <w:kern w:val="0"/>
                <w:sz w:val="24"/>
                <w:szCs w:val="24"/>
              </w:rPr>
            </w:pPr>
          </w:p>
        </w:tc>
        <w:tc>
          <w:tcPr>
            <w:tcW w:w="1750" w:type="dxa"/>
            <w:vMerge w:val="continue"/>
            <w:tcBorders>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0"/>
                <w:sz w:val="24"/>
                <w:szCs w:val="24"/>
              </w:rPr>
            </w:pPr>
          </w:p>
        </w:tc>
        <w:tc>
          <w:tcPr>
            <w:tcW w:w="4838" w:type="dxa"/>
            <w:tcBorders>
              <w:top w:val="single" w:color="auto" w:sz="4" w:space="0"/>
              <w:left w:val="nil"/>
              <w:right w:val="single" w:color="auto" w:sz="4" w:space="0"/>
            </w:tcBorders>
            <w:noWrap w:val="0"/>
            <w:vAlign w:val="center"/>
          </w:tcPr>
          <w:p>
            <w:pPr>
              <w:jc w:val="left"/>
              <w:rPr>
                <w:rFonts w:hint="default" w:ascii="Times New Roman" w:hAnsi="Times New Roman" w:eastAsia="方正仿宋_GBK" w:cs="Times New Roman"/>
                <w:spacing w:val="-20"/>
                <w:kern w:val="2"/>
                <w:sz w:val="24"/>
                <w:szCs w:val="24"/>
                <w:lang w:val="en-US" w:eastAsia="zh-CN"/>
              </w:rPr>
            </w:pPr>
            <w:r>
              <w:rPr>
                <w:rFonts w:hint="default" w:ascii="Times New Roman" w:hAnsi="Times New Roman" w:eastAsia="方正仿宋_GBK" w:cs="Times New Roman"/>
                <w:spacing w:val="-20"/>
                <w:kern w:val="2"/>
                <w:sz w:val="24"/>
                <w:szCs w:val="24"/>
                <w:lang w:val="en-US" w:eastAsia="zh-CN"/>
              </w:rPr>
              <w:t>符合医疗补助条件、参加基本医疗保险制度但个人医疗费负担较重的优抚对象中实际享受医疗补助人数的比例。</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2"/>
                <w:sz w:val="24"/>
                <w:szCs w:val="24"/>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kern w:val="2"/>
                <w:sz w:val="24"/>
                <w:szCs w:val="24"/>
              </w:rPr>
            </w:pPr>
          </w:p>
        </w:tc>
        <w:tc>
          <w:tcPr>
            <w:tcW w:w="1750" w:type="dxa"/>
            <w:vMerge w:val="restart"/>
            <w:tcBorders>
              <w:top w:val="nil"/>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质量指标</w:t>
            </w:r>
          </w:p>
        </w:tc>
        <w:tc>
          <w:tcPr>
            <w:tcW w:w="4838" w:type="dxa"/>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lang w:eastAsia="zh-CN"/>
              </w:rPr>
              <w:t>经费足额拨付率</w:t>
            </w:r>
          </w:p>
        </w:tc>
        <w:tc>
          <w:tcPr>
            <w:tcW w:w="1366"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kern w:val="2"/>
                <w:sz w:val="24"/>
                <w:szCs w:val="24"/>
              </w:rPr>
            </w:pPr>
          </w:p>
        </w:tc>
        <w:tc>
          <w:tcPr>
            <w:tcW w:w="1750" w:type="dxa"/>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kern w:val="2"/>
                <w:sz w:val="24"/>
                <w:szCs w:val="24"/>
              </w:rPr>
            </w:pPr>
          </w:p>
        </w:tc>
        <w:tc>
          <w:tcPr>
            <w:tcW w:w="48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0"/>
                <w:sz w:val="24"/>
                <w:szCs w:val="24"/>
              </w:rPr>
              <w:t>优抚对象</w:t>
            </w:r>
            <w:r>
              <w:rPr>
                <w:rFonts w:hint="default" w:ascii="Times New Roman" w:hAnsi="Times New Roman" w:eastAsia="方正仿宋_GBK" w:cs="Times New Roman"/>
                <w:kern w:val="0"/>
                <w:sz w:val="24"/>
                <w:szCs w:val="24"/>
                <w:lang w:eastAsia="zh-CN"/>
              </w:rPr>
              <w:t>医疗</w:t>
            </w:r>
            <w:r>
              <w:rPr>
                <w:rFonts w:hint="default" w:ascii="Times New Roman" w:hAnsi="Times New Roman" w:eastAsia="方正仿宋_GBK" w:cs="Times New Roman"/>
                <w:kern w:val="0"/>
                <w:sz w:val="24"/>
                <w:szCs w:val="24"/>
              </w:rPr>
              <w:t>补助标准按规定执行</w:t>
            </w:r>
            <w:r>
              <w:rPr>
                <w:rFonts w:hint="default" w:ascii="Times New Roman" w:hAnsi="Times New Roman" w:eastAsia="方正仿宋_GBK" w:cs="Times New Roman"/>
                <w:kern w:val="0"/>
                <w:sz w:val="24"/>
                <w:szCs w:val="24"/>
                <w:lang w:eastAsia="zh-CN"/>
              </w:rPr>
              <w:t>率</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kern w:val="2"/>
                <w:sz w:val="24"/>
                <w:szCs w:val="24"/>
              </w:rPr>
            </w:pPr>
          </w:p>
        </w:tc>
        <w:tc>
          <w:tcPr>
            <w:tcW w:w="175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时效指标</w:t>
            </w:r>
          </w:p>
        </w:tc>
        <w:tc>
          <w:tcPr>
            <w:tcW w:w="48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lang w:eastAsia="zh-CN"/>
              </w:rPr>
              <w:t>优抚对象医疗保障经费及时拨付率</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效益指标</w:t>
            </w:r>
          </w:p>
        </w:tc>
        <w:tc>
          <w:tcPr>
            <w:tcW w:w="175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0"/>
                <w:sz w:val="24"/>
                <w:szCs w:val="24"/>
              </w:rPr>
              <w:t>社会效益指</w:t>
            </w:r>
            <w:r>
              <w:rPr>
                <w:rFonts w:hint="default" w:ascii="Times New Roman" w:hAnsi="Times New Roman" w:eastAsia="方正仿宋_GBK" w:cs="Times New Roman"/>
                <w:kern w:val="0"/>
                <w:sz w:val="24"/>
                <w:szCs w:val="24"/>
                <w:lang w:eastAsia="zh-CN"/>
              </w:rPr>
              <w:t>标</w:t>
            </w:r>
          </w:p>
        </w:tc>
        <w:tc>
          <w:tcPr>
            <w:tcW w:w="4838"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0"/>
                <w:sz w:val="24"/>
                <w:szCs w:val="24"/>
              </w:rPr>
              <w:t>优抚对象</w:t>
            </w:r>
            <w:r>
              <w:rPr>
                <w:rFonts w:hint="default" w:ascii="Times New Roman" w:hAnsi="Times New Roman" w:eastAsia="方正仿宋_GBK" w:cs="Times New Roman"/>
                <w:kern w:val="0"/>
                <w:sz w:val="24"/>
                <w:szCs w:val="24"/>
                <w:lang w:eastAsia="zh-CN"/>
              </w:rPr>
              <w:t>医疗难问题改善</w:t>
            </w:r>
            <w:r>
              <w:rPr>
                <w:rFonts w:hint="default" w:ascii="Times New Roman" w:hAnsi="Times New Roman" w:eastAsia="方正仿宋_GBK" w:cs="Times New Roman"/>
                <w:kern w:val="0"/>
                <w:sz w:val="24"/>
                <w:szCs w:val="24"/>
                <w:lang w:val="en-US" w:eastAsia="zh-CN"/>
              </w:rPr>
              <w:t xml:space="preserve">      </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有效改善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满意度指标</w:t>
            </w:r>
          </w:p>
        </w:tc>
        <w:tc>
          <w:tcPr>
            <w:tcW w:w="1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服务对象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满意度指标</w:t>
            </w:r>
          </w:p>
        </w:tc>
        <w:tc>
          <w:tcPr>
            <w:tcW w:w="48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优抚对象满意度</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rPr>
              <w:t>≥90%</w:t>
            </w:r>
          </w:p>
        </w:tc>
      </w:tr>
    </w:tbl>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p>
    <w:sectPr>
      <w:footerReference r:id="rId7" w:type="first"/>
      <w:footerReference r:id="rId5" w:type="default"/>
      <w:footerReference r:id="rId6" w:type="even"/>
      <w:pgSz w:w="11906" w:h="16838"/>
      <w:pgMar w:top="1440" w:right="1797" w:bottom="1440" w:left="1797" w:header="720" w:footer="720"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8260" w:firstLineChars="2950"/>
      <w:rPr>
        <w:rStyle w:val="7"/>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v:textbox>
            </v:shape>
          </w:pict>
        </mc:Fallback>
      </mc:AlternateContent>
    </w:r>
    <w:r>
      <w:rPr>
        <w:rStyle w:val="7"/>
        <w:rFonts w:hint="eastAsia" w:ascii="宋体" w:hAnsi="宋体"/>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B095E86-97F6-46F9-8E15-E4301AAAA34C}"/>
    <w:docVar w:name="DocumentName" w:val="梁财社〔2023〕155号关于下达2023年中央优抚对象医疗保障经费的通知（01 中央直达资金）"/>
  </w:docVars>
  <w:rsids>
    <w:rsidRoot w:val="00000000"/>
    <w:rsid w:val="00830B3A"/>
    <w:rsid w:val="06007873"/>
    <w:rsid w:val="0786416F"/>
    <w:rsid w:val="07886409"/>
    <w:rsid w:val="07F64C21"/>
    <w:rsid w:val="09745825"/>
    <w:rsid w:val="09E911F1"/>
    <w:rsid w:val="0AE5706E"/>
    <w:rsid w:val="0B0A6A71"/>
    <w:rsid w:val="0C5B035E"/>
    <w:rsid w:val="0C83624D"/>
    <w:rsid w:val="0D3F0EEB"/>
    <w:rsid w:val="0DBC559A"/>
    <w:rsid w:val="0E2142A1"/>
    <w:rsid w:val="0FCB1CE9"/>
    <w:rsid w:val="102F7315"/>
    <w:rsid w:val="1091445F"/>
    <w:rsid w:val="10E45564"/>
    <w:rsid w:val="11FC7480"/>
    <w:rsid w:val="12B67DF9"/>
    <w:rsid w:val="13341197"/>
    <w:rsid w:val="138419EE"/>
    <w:rsid w:val="13A21647"/>
    <w:rsid w:val="13A6267C"/>
    <w:rsid w:val="145D10B3"/>
    <w:rsid w:val="148005FB"/>
    <w:rsid w:val="150F5AD2"/>
    <w:rsid w:val="157818E8"/>
    <w:rsid w:val="15EF72DD"/>
    <w:rsid w:val="18763BA5"/>
    <w:rsid w:val="19B16135"/>
    <w:rsid w:val="19CF3670"/>
    <w:rsid w:val="1A1E05BA"/>
    <w:rsid w:val="1A7D6D85"/>
    <w:rsid w:val="1B9D1623"/>
    <w:rsid w:val="1C172982"/>
    <w:rsid w:val="1D815751"/>
    <w:rsid w:val="1DD646B6"/>
    <w:rsid w:val="1DEA7DC2"/>
    <w:rsid w:val="1DFB7FBE"/>
    <w:rsid w:val="1EA0242D"/>
    <w:rsid w:val="1EF15C06"/>
    <w:rsid w:val="1FC666FD"/>
    <w:rsid w:val="202424BD"/>
    <w:rsid w:val="2108113C"/>
    <w:rsid w:val="21E41377"/>
    <w:rsid w:val="226F72B0"/>
    <w:rsid w:val="227A5B2F"/>
    <w:rsid w:val="22A83ADD"/>
    <w:rsid w:val="22B95AC7"/>
    <w:rsid w:val="2307485F"/>
    <w:rsid w:val="23494274"/>
    <w:rsid w:val="235829B4"/>
    <w:rsid w:val="246F5D80"/>
    <w:rsid w:val="25766390"/>
    <w:rsid w:val="267A18CC"/>
    <w:rsid w:val="273208E7"/>
    <w:rsid w:val="27327F13"/>
    <w:rsid w:val="279D33AE"/>
    <w:rsid w:val="27AC3A14"/>
    <w:rsid w:val="283B2521"/>
    <w:rsid w:val="28AC1ED8"/>
    <w:rsid w:val="2B4D5322"/>
    <w:rsid w:val="2C213B0E"/>
    <w:rsid w:val="2C622667"/>
    <w:rsid w:val="2C8A36E0"/>
    <w:rsid w:val="2DC027C2"/>
    <w:rsid w:val="2F10570F"/>
    <w:rsid w:val="2F2819F8"/>
    <w:rsid w:val="315D7DA4"/>
    <w:rsid w:val="317967B1"/>
    <w:rsid w:val="32026C74"/>
    <w:rsid w:val="321C6742"/>
    <w:rsid w:val="32572CB0"/>
    <w:rsid w:val="32CB2F7B"/>
    <w:rsid w:val="3378382B"/>
    <w:rsid w:val="34E51D3A"/>
    <w:rsid w:val="357A2BD6"/>
    <w:rsid w:val="37660868"/>
    <w:rsid w:val="3782629D"/>
    <w:rsid w:val="380657E0"/>
    <w:rsid w:val="3A1145AF"/>
    <w:rsid w:val="3A4F3806"/>
    <w:rsid w:val="3D1E75A7"/>
    <w:rsid w:val="3D6544F0"/>
    <w:rsid w:val="3F6049B7"/>
    <w:rsid w:val="40203954"/>
    <w:rsid w:val="4038606A"/>
    <w:rsid w:val="40C50F64"/>
    <w:rsid w:val="42253A94"/>
    <w:rsid w:val="422B0AC7"/>
    <w:rsid w:val="43FA3136"/>
    <w:rsid w:val="44216393"/>
    <w:rsid w:val="44D7423A"/>
    <w:rsid w:val="45FF5F18"/>
    <w:rsid w:val="46AF3BC9"/>
    <w:rsid w:val="47CC6BDA"/>
    <w:rsid w:val="47E257F5"/>
    <w:rsid w:val="47FE7947"/>
    <w:rsid w:val="49BF0020"/>
    <w:rsid w:val="4A14515D"/>
    <w:rsid w:val="4B323368"/>
    <w:rsid w:val="4BA062CE"/>
    <w:rsid w:val="4BE27134"/>
    <w:rsid w:val="4CF1183F"/>
    <w:rsid w:val="4D77008C"/>
    <w:rsid w:val="4D903DD3"/>
    <w:rsid w:val="4DE64F85"/>
    <w:rsid w:val="4E305B81"/>
    <w:rsid w:val="4E8C28E4"/>
    <w:rsid w:val="4E917EA0"/>
    <w:rsid w:val="4F0E1D90"/>
    <w:rsid w:val="4FC41F46"/>
    <w:rsid w:val="50511053"/>
    <w:rsid w:val="505209FD"/>
    <w:rsid w:val="512245C8"/>
    <w:rsid w:val="54FE12AD"/>
    <w:rsid w:val="55BE3C17"/>
    <w:rsid w:val="5620087B"/>
    <w:rsid w:val="56455A59"/>
    <w:rsid w:val="58940722"/>
    <w:rsid w:val="590B7542"/>
    <w:rsid w:val="5A333888"/>
    <w:rsid w:val="5B2F6498"/>
    <w:rsid w:val="5B3C5A35"/>
    <w:rsid w:val="5D625B32"/>
    <w:rsid w:val="5ED66A25"/>
    <w:rsid w:val="61353447"/>
    <w:rsid w:val="621D4E67"/>
    <w:rsid w:val="62790E71"/>
    <w:rsid w:val="62FB3F34"/>
    <w:rsid w:val="65CE47BF"/>
    <w:rsid w:val="65EB238A"/>
    <w:rsid w:val="65F64448"/>
    <w:rsid w:val="6633285F"/>
    <w:rsid w:val="6A855C4B"/>
    <w:rsid w:val="6BDF40EE"/>
    <w:rsid w:val="6D214BE0"/>
    <w:rsid w:val="6D2A0593"/>
    <w:rsid w:val="6DDC342C"/>
    <w:rsid w:val="6E0C4A49"/>
    <w:rsid w:val="6E175BAB"/>
    <w:rsid w:val="6F245E11"/>
    <w:rsid w:val="719515F5"/>
    <w:rsid w:val="719F2C97"/>
    <w:rsid w:val="73066F61"/>
    <w:rsid w:val="73262C99"/>
    <w:rsid w:val="73663EDE"/>
    <w:rsid w:val="736F2C8B"/>
    <w:rsid w:val="73C2712E"/>
    <w:rsid w:val="75277D66"/>
    <w:rsid w:val="76460B34"/>
    <w:rsid w:val="76514837"/>
    <w:rsid w:val="76B8261D"/>
    <w:rsid w:val="78117866"/>
    <w:rsid w:val="78451356"/>
    <w:rsid w:val="78600900"/>
    <w:rsid w:val="78A94A62"/>
    <w:rsid w:val="7BA30EF9"/>
    <w:rsid w:val="7BD621F0"/>
    <w:rsid w:val="7C6061A4"/>
    <w:rsid w:val="7DB83FEE"/>
    <w:rsid w:val="7DBE3C71"/>
    <w:rsid w:val="7EF07283"/>
    <w:rsid w:val="7F945FFE"/>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Times New Roman" w:hAnsi="Times New Roman" w:eastAsia="宋体" w:cs="Times New Roman"/>
    </w:rPr>
  </w:style>
  <w:style w:type="character" w:customStyle="1" w:styleId="8">
    <w:name w:val="font21"/>
    <w:basedOn w:val="6"/>
    <w:qFormat/>
    <w:uiPriority w:val="0"/>
    <w:rPr>
      <w:rFonts w:hint="eastAsia" w:ascii="宋体" w:hAnsi="宋体" w:eastAsia="宋体" w:cs="宋体"/>
      <w:color w:val="000000"/>
      <w:sz w:val="18"/>
      <w:szCs w:val="18"/>
      <w:u w:val="none"/>
    </w:rPr>
  </w:style>
  <w:style w:type="character" w:customStyle="1" w:styleId="9">
    <w:name w:val="font31"/>
    <w:basedOn w:val="6"/>
    <w:qFormat/>
    <w:uiPriority w:val="0"/>
    <w:rPr>
      <w:rFonts w:hint="eastAsia" w:ascii="宋体" w:hAnsi="宋体" w:eastAsia="宋体" w:cs="宋体"/>
      <w:color w:val="000000"/>
      <w:sz w:val="20"/>
      <w:szCs w:val="20"/>
      <w:u w:val="none"/>
    </w:rPr>
  </w:style>
  <w:style w:type="character" w:customStyle="1" w:styleId="10">
    <w:name w:val="font01"/>
    <w:basedOn w:val="6"/>
    <w:qFormat/>
    <w:uiPriority w:val="0"/>
    <w:rPr>
      <w:rFonts w:hint="eastAsia" w:ascii="宋体" w:hAnsi="宋体" w:eastAsia="宋体" w:cs="宋体"/>
      <w:b/>
      <w:color w:val="000000"/>
      <w:sz w:val="20"/>
      <w:szCs w:val="20"/>
      <w:u w:val="none"/>
    </w:rPr>
  </w:style>
  <w:style w:type="character" w:customStyle="1" w:styleId="11">
    <w:name w:val="font41"/>
    <w:basedOn w:val="6"/>
    <w:qFormat/>
    <w:uiPriority w:val="0"/>
    <w:rPr>
      <w:rFonts w:hint="default" w:ascii="Times New Roman" w:hAnsi="Times New Roman" w:eastAsia="宋体" w:cs="Times New Roman"/>
      <w:color w:val="000000"/>
      <w:sz w:val="22"/>
      <w:szCs w:val="22"/>
      <w:u w:val="none"/>
    </w:rPr>
  </w:style>
  <w:style w:type="character" w:customStyle="1" w:styleId="12">
    <w:name w:val="font71"/>
    <w:basedOn w:val="6"/>
    <w:qFormat/>
    <w:uiPriority w:val="0"/>
    <w:rPr>
      <w:rFonts w:hint="eastAsia" w:ascii="宋体" w:hAnsi="宋体" w:eastAsia="宋体" w:cs="宋体"/>
      <w:color w:val="000000"/>
      <w:sz w:val="28"/>
      <w:szCs w:val="28"/>
      <w:u w:val="none"/>
    </w:rPr>
  </w:style>
  <w:style w:type="character" w:customStyle="1" w:styleId="13">
    <w:name w:val="font11"/>
    <w:basedOn w:val="6"/>
    <w:qFormat/>
    <w:uiPriority w:val="0"/>
    <w:rPr>
      <w:rFonts w:hint="default" w:ascii="仿宋_GB2312" w:eastAsia="仿宋_GB2312" w:cs="仿宋_GB2312"/>
      <w:color w:val="000000"/>
      <w:sz w:val="30"/>
      <w:szCs w:val="30"/>
      <w:u w:val="none"/>
    </w:rPr>
  </w:style>
  <w:style w:type="paragraph" w:customStyle="1" w:styleId="14">
    <w:name w:val="图表目录1"/>
    <w:basedOn w:val="15"/>
    <w:next w:val="1"/>
    <w:qFormat/>
    <w:uiPriority w:val="0"/>
    <w:pPr>
      <w:ind w:left="200" w:leftChars="200" w:hanging="200" w:hangingChars="200"/>
    </w:pPr>
    <w:rPr>
      <w:rFonts w:ascii="Calibri" w:hAnsi="Calibri" w:eastAsia="宋体" w:cs="Times New Roman"/>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6">
    <w:name w:val=" Char"/>
    <w:basedOn w:val="1"/>
    <w:qFormat/>
    <w:uiPriority w:val="0"/>
    <w:pPr>
      <w:shd w:val="clear" w:color="auto" w:fill="000080"/>
      <w:adjustRightInd w:val="0"/>
      <w:spacing w:line="436" w:lineRule="exact"/>
      <w:ind w:left="357"/>
      <w:jc w:val="left"/>
      <w:outlineLvl w:val="3"/>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梁河财政</cp:lastModifiedBy>
  <cp:lastPrinted>2023-11-22T03:13:00Z</cp:lastPrinted>
  <dcterms:modified xsi:type="dcterms:W3CDTF">2024-05-16T00:34:41Z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0F34DF60DDE34C97BDE3FEE0C010AE95</vt:lpwstr>
  </property>
</Properties>
</file>