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440" w:right="0" w:rightChars="0" w:hanging="440" w:hangingChars="100"/>
        <w:jc w:val="both"/>
        <w:textAlignment w:val="auto"/>
        <w:outlineLvl w:val="9"/>
        <w:rPr>
          <w:rFonts w:hint="eastAsia" w:ascii="仿宋_GB2312" w:hAnsi="仿宋_GB2312" w:eastAsia="仿宋_GB2312" w:cs="仿宋_GB2312"/>
          <w:b/>
          <w:sz w:val="44"/>
          <w:szCs w:val="44"/>
          <w:lang w:eastAsia="zh-CN"/>
        </w:rPr>
      </w:pPr>
      <w:bookmarkStart w:id="0" w:name="_GoBack"/>
      <w:bookmarkEnd w:id="0"/>
      <w:r>
        <w:rPr>
          <w:sz w:val="44"/>
        </w:rPr>
        <mc:AlternateContent>
          <mc:Choice Requires="wps">
            <w:drawing>
              <wp:anchor distT="0" distB="0" distL="114300" distR="114300" simplePos="0" relativeHeight="251659264" behindDoc="0" locked="0" layoutInCell="1" hidden="1" allowOverlap="1">
                <wp:simplePos x="0" y="0"/>
                <wp:positionH relativeFrom="column">
                  <wp:posOffset>-1271905</wp:posOffset>
                </wp:positionH>
                <wp:positionV relativeFrom="paragraph">
                  <wp:posOffset>-787400</wp:posOffset>
                </wp:positionV>
                <wp:extent cx="63500" cy="63500"/>
                <wp:effectExtent l="6350" t="6350" r="6350" b="6350"/>
                <wp:wrapNone/>
                <wp:docPr id="3" name="KGD_Gobal1" descr="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" style="position:absolute;left:0pt;margin-left:-100.15pt;margin-top:-62pt;height:5pt;width:5pt;visibility:hidden;z-index:251659264;v-text-anchor:middle;mso-width-relative:page;mso-height-relative:page;" fillcolor="#5B9BD5 [3204]" filled="t" stroked="t" coordsize="21600,21600" o:gfxdata="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">
                <v:fill on="t" focussize="0,0"/>
                <v:stroke weight="1pt" color="#41719C [3204]" miterlimit="8" joinstyle="miter"/>
                <v:imagedata o:title=""/>
                <o:lock v:ext="edit" aspectratio="f"/>
              </v:rect>
            </w:pict>
          </mc:Fallback>
        </mc:AlternateContent>
      </w:r>
    </w:p>
    <w:p>
      <w:pPr>
        <w:adjustRightInd w:val="0"/>
        <w:snapToGrid w:val="0"/>
        <w:spacing w:line="760" w:lineRule="exact"/>
        <w:jc w:val="center"/>
        <w:rPr>
          <w:rFonts w:hint="eastAsia" w:ascii="Times New Roman" w:hAnsi="Times New Roman" w:eastAsia="方正小标宋_GBK" w:cs="方正小标宋简体"/>
          <w:sz w:val="44"/>
          <w:szCs w:val="44"/>
          <w:lang w:val="en-US" w:eastAsia="zh-CN"/>
        </w:rPr>
      </w:pPr>
      <w:r>
        <w:rPr>
          <w:rFonts w:hint="eastAsia" w:ascii="Times New Roman" w:hAnsi="Times New Roman" w:eastAsia="方正小标宋_GBK" w:cs="Times New Roman"/>
          <w:bCs/>
          <w:spacing w:val="0"/>
          <w:sz w:val="44"/>
          <w:szCs w:val="44"/>
          <w:lang w:val="en-US" w:eastAsia="zh-CN"/>
        </w:rPr>
        <w:t>梁河县财政局</w:t>
      </w:r>
      <w:r>
        <w:rPr>
          <w:rFonts w:hint="eastAsia" w:ascii="Times New Roman" w:hAnsi="Times New Roman" w:eastAsia="方正小标宋_GBK" w:cs="方正小标宋简体"/>
          <w:sz w:val="44"/>
          <w:szCs w:val="44"/>
          <w:lang w:eastAsia="zh-CN"/>
        </w:rPr>
        <w:t>关于提前下达</w:t>
      </w:r>
      <w:r>
        <w:rPr>
          <w:rFonts w:hint="eastAsia" w:ascii="Times New Roman" w:hAnsi="Times New Roman" w:eastAsia="方正小标宋_GBK" w:cs="方正小标宋简体"/>
          <w:sz w:val="44"/>
          <w:szCs w:val="44"/>
          <w:lang w:val="en-US" w:eastAsia="zh-CN"/>
        </w:rPr>
        <w:t>2023年中央</w:t>
      </w:r>
    </w:p>
    <w:p>
      <w:pPr>
        <w:adjustRightInd w:val="0"/>
        <w:snapToGrid w:val="0"/>
        <w:spacing w:line="760" w:lineRule="exact"/>
        <w:jc w:val="center"/>
        <w:rPr>
          <w:rFonts w:hint="eastAsia" w:ascii="Times New Roman" w:hAnsi="Times New Roman" w:eastAsia="方正小标宋_GBK" w:cs="Times New Roman"/>
          <w:bCs/>
          <w:spacing w:val="0"/>
          <w:sz w:val="44"/>
          <w:szCs w:val="44"/>
          <w:lang w:eastAsia="zh-CN"/>
        </w:rPr>
      </w:pPr>
      <w:r>
        <w:rPr>
          <w:rFonts w:hint="eastAsia" w:ascii="Times New Roman" w:hAnsi="Times New Roman" w:eastAsia="方正小标宋_GBK" w:cs="方正小标宋简体"/>
          <w:sz w:val="44"/>
          <w:szCs w:val="44"/>
          <w:lang w:val="en-US" w:eastAsia="zh-CN"/>
        </w:rPr>
        <w:t>优抚对象医疗保障经费预算的通知</w:t>
      </w:r>
    </w:p>
    <w:p>
      <w:pPr>
        <w:jc w:val="both"/>
        <w:rPr>
          <w:rFonts w:hint="eastAsia" w:ascii="仿宋_GB2312" w:hAnsi="仿宋_GB2312" w:eastAsia="仿宋_GB2312" w:cs="仿宋_GB2312"/>
          <w:b/>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梁河县退役军人事务局：</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根据《德宏州财政局关于提前下达2023年中央优抚对象医疗保障经费预算的通知》（德财社〔2022〕217号），现下达你单位2023年中央优抚对象医疗保障经费预算（具体金额详见附件），现将有关事项通知如下：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一、各</w:t>
      </w:r>
      <w:r>
        <w:rPr>
          <w:rFonts w:hint="default" w:ascii="Times New Roman" w:hAnsi="Times New Roman" w:eastAsia="方正仿宋_GBK" w:cs="Times New Roman"/>
          <w:sz w:val="32"/>
          <w:szCs w:val="32"/>
          <w:lang w:val="en-US" w:eastAsia="zh-CN"/>
        </w:rPr>
        <w:t>部门</w:t>
      </w:r>
      <w:r>
        <w:rPr>
          <w:rFonts w:hint="default" w:ascii="Times New Roman" w:hAnsi="Times New Roman" w:eastAsia="方正仿宋_GBK" w:cs="Times New Roman"/>
          <w:sz w:val="32"/>
          <w:szCs w:val="32"/>
          <w:lang w:eastAsia="zh-CN"/>
        </w:rPr>
        <w:t>该项指标收入列入2022年政府收支分类科目“1100249医疗卫生共同财政事权转移支付收入”科目，支出列入“2101401 优抚对象医疗补助”科目，</w:t>
      </w:r>
      <w:r>
        <w:rPr>
          <w:rFonts w:hint="default" w:ascii="Times New Roman" w:hAnsi="Times New Roman" w:eastAsia="方正仿宋_GBK" w:cs="Times New Roman"/>
          <w:sz w:val="32"/>
          <w:szCs w:val="32"/>
          <w:lang w:val="en-US" w:eastAsia="zh-CN"/>
        </w:rPr>
        <w:t>政府及部门支出经济分类科目，请根据该项目要求和实际情况按照《</w:t>
      </w:r>
      <w:r>
        <w:rPr>
          <w:rFonts w:hint="eastAsia" w:ascii="Times New Roman" w:hAnsi="Times New Roman"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 xml:space="preserve">预算法》和财政资金相关管理规定列支。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lang w:val="en-US" w:eastAsia="zh-CN"/>
        </w:rPr>
        <w:t>根据《军人抚恤优待条例》、《退役军人事务部等6部门关于印发〈残疾退役军人医疗保障办法〉的通知》（退役军人部发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3号）、《退役军人事务部等4部门关于印发〈优抚对象医疗保障办法〉</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49号）和《财政部 退役军人部 医疗局关于修改退役安置等补助资金管理办法的通知》（财社</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19</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225号）等有关文件规定，此次安排预算主要用于对一至六级残疾军人参加城镇职工基本医疗保险给予缴费补助，对符合条件的优抚对象给予医疗费用补助等方面。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此次安排的资金为直达资金，各部门在下达直达资金预算指标时，项目名称应与上级财政部门预算指标发文中的有关项目保持一致，并准确标注直达资金标识；及时在指标管理系统中登录有关指标和直达资金标识，导入直达资金监控系统，确保数据真实、账目清晰、流向明确。对于资金来源既包含中央直达资金又包含地方对应安排资金的项目，在预算指标文件、指标管理系统可按资金明细来源分别列示，在指标系统中分别登录；各部门务必按照直达资金管理要求，在直达资金监控系统内按时进行相关操作，同时切实加快资金支出进度，确保于2023年度内形成支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四、请各部门按照《中共中央 国务院关于全面实施预算绩效管理的意见》的要求，切实提高财政资金使用效益，在组织预算执行中对照区域绩效目标做好绩效监控，确保年度绩效目标如期实现。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-4925060</wp:posOffset>
                </wp:positionH>
                <wp:positionV relativeFrom="paragraph">
                  <wp:posOffset>-6260465</wp:posOffset>
                </wp:positionV>
                <wp:extent cx="15120620" cy="21384260"/>
                <wp:effectExtent l="0" t="0" r="0" b="0"/>
                <wp:wrapNone/>
                <wp:docPr id="5"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8pt;margin-top:-492.95pt;height:1683.8pt;width:1190.6pt;z-index:251660288;v-text-anchor:middle;mso-width-relative:page;mso-height-relative:page;" fillcolor="#FFFFFF" filled="t" stroked="t" coordsize="21600,21600" o:gfxdata="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EtgzOPaAAAADwEAAA8AAAAAAAAAAQAgAAAAIgAA&#10;AGRycy9kb3ducmV2LnhtbFBLAQIUABQAAAAIAIdO4kCUT6NveAIAADwFAAAOAAAAAAAAAAEAIAAA&#10;ACkBAABkcnMvZTJvRG9jLnhtbFBLBQYAAAAABgAGAFkBAAAT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五、请单位收到文件后，于3日内在预算管理一体化系统中挂接项目，完成挂接项目后请电话通知行财股（3019051）。如未按时限挂接项目导致资金无法正常使用，由各单位自行负责。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598" w:leftChars="304" w:hanging="960" w:hanging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附件：1.提前下达2023年中央优抚对象医疗保障经费预算分配表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918" w:leftChars="304" w:hanging="1280" w:hangingChars="4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2.提前下达2023年中央优抚对象医疗保障经费预算绩效目标表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color w:val="000000"/>
          <w:kern w:val="0"/>
          <w:sz w:val="32"/>
          <w:szCs w:val="32"/>
          <w:u w:val="none"/>
          <w:lang w:val="en-US" w:eastAsia="zh-CN" w:bidi="ar"/>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center"/>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梁河县财政</w:t>
      </w:r>
      <w:r>
        <w:rPr>
          <w:rFonts w:hint="default" w:ascii="Times New Roman" w:hAnsi="Times New Roman" w:eastAsia="方正仿宋_GBK" w:cs="Times New Roman"/>
          <w:sz w:val="32"/>
          <w:szCs w:val="32"/>
        </w:rPr>
        <w:t>局</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eastAsia" w:eastAsia="方正仿宋_GBK" w:cs="方正仿宋_GBK"/>
          <w:sz w:val="32"/>
          <w:szCs w:val="32"/>
          <w:lang w:val="en-US" w:eastAsia="zh-CN"/>
        </w:rPr>
      </w:pPr>
      <w:r>
        <w:rPr>
          <w:rFonts w:hint="eastAsia" w:ascii="Times New Roman" w:hAnsi="Times New Roman" w:eastAsia="方正仿宋_GBK" w:cs="方正仿宋_GBK"/>
          <w:sz w:val="32"/>
          <w:szCs w:val="32"/>
        </w:rPr>
        <w:t xml:space="preserve">          　　　　              202</w:t>
      </w: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月</w:t>
      </w:r>
      <w:r>
        <w:rPr>
          <w:rFonts w:hint="eastAsia" w:eastAsia="方正仿宋_GBK" w:cs="方正仿宋_GBK"/>
          <w:sz w:val="32"/>
          <w:szCs w:val="32"/>
          <w:lang w:val="en-US" w:eastAsia="zh-CN"/>
        </w:rPr>
        <w:t>10日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eastAsia"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eastAsia"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eastAsia"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right"/>
        <w:textAlignment w:val="auto"/>
        <w:rPr>
          <w:rFonts w:hint="default" w:eastAsia="方正仿宋_GBK" w:cs="方正仿宋_GBK"/>
          <w:sz w:val="32"/>
          <w:szCs w:val="32"/>
          <w:lang w:val="en-US" w:eastAsia="zh-CN"/>
        </w:rPr>
        <w:sectPr>
          <w:pgSz w:w="11906" w:h="16838"/>
          <w:pgMar w:top="1440" w:right="1803" w:bottom="1440" w:left="1803" w:header="851" w:footer="992" w:gutter="0"/>
          <w:cols w:space="0" w:num="1"/>
          <w:rtlGutter w:val="0"/>
          <w:docGrid w:type="lines" w:linePitch="332" w:charSpace="0"/>
        </w:sectPr>
      </w:pPr>
    </w:p>
    <w:p>
      <w:pPr>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提前下达202</w:t>
      </w:r>
      <w:r>
        <w:rPr>
          <w:rFonts w:hint="eastAsia" w:ascii="黑体" w:hAnsi="黑体" w:eastAsia="黑体" w:cs="黑体"/>
          <w:b w:val="0"/>
          <w:bCs w:val="0"/>
          <w:sz w:val="32"/>
          <w:szCs w:val="32"/>
          <w:lang w:val="en-US" w:eastAsia="zh-CN"/>
        </w:rPr>
        <w:t>3中央</w:t>
      </w:r>
      <w:r>
        <w:rPr>
          <w:rFonts w:hint="eastAsia" w:ascii="黑体" w:hAnsi="黑体" w:eastAsia="黑体" w:cs="黑体"/>
          <w:b w:val="0"/>
          <w:bCs w:val="0"/>
          <w:sz w:val="32"/>
          <w:szCs w:val="32"/>
        </w:rPr>
        <w:t>优抚对象</w:t>
      </w:r>
      <w:r>
        <w:rPr>
          <w:rFonts w:hint="eastAsia" w:ascii="黑体" w:hAnsi="黑体" w:eastAsia="黑体" w:cs="黑体"/>
          <w:b w:val="0"/>
          <w:bCs w:val="0"/>
          <w:sz w:val="32"/>
          <w:szCs w:val="32"/>
          <w:lang w:eastAsia="zh-CN"/>
        </w:rPr>
        <w:t>医疗保障</w:t>
      </w:r>
      <w:r>
        <w:rPr>
          <w:rFonts w:hint="eastAsia" w:ascii="黑体" w:hAnsi="黑体" w:eastAsia="黑体" w:cs="黑体"/>
          <w:b w:val="0"/>
          <w:bCs w:val="0"/>
          <w:sz w:val="32"/>
          <w:szCs w:val="32"/>
        </w:rPr>
        <w:t>经费</w:t>
      </w:r>
      <w:r>
        <w:rPr>
          <w:rFonts w:hint="eastAsia" w:ascii="黑体" w:hAnsi="黑体" w:eastAsia="黑体" w:cs="黑体"/>
          <w:b w:val="0"/>
          <w:bCs w:val="0"/>
          <w:sz w:val="32"/>
          <w:szCs w:val="32"/>
          <w:lang w:eastAsia="zh-CN"/>
        </w:rPr>
        <w:t>预算</w:t>
      </w:r>
      <w:r>
        <w:rPr>
          <w:rFonts w:hint="eastAsia" w:ascii="黑体" w:hAnsi="黑体" w:eastAsia="黑体" w:cs="黑体"/>
          <w:b w:val="0"/>
          <w:bCs w:val="0"/>
          <w:sz w:val="32"/>
          <w:szCs w:val="32"/>
        </w:rPr>
        <w:t>分配表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32"/>
          <w:szCs w:val="32"/>
          <w:lang w:eastAsia="zh-CN"/>
        </w:rPr>
      </w:pPr>
      <w:r>
        <w:rPr>
          <w:rFonts w:hint="eastAsia" w:ascii="Times New Roman" w:hAnsi="Times New Roman" w:eastAsia="方正黑体_GBK" w:cs="Times New Roman"/>
          <w:sz w:val="44"/>
          <w:szCs w:val="44"/>
          <w:lang w:eastAsia="zh-CN"/>
        </w:rPr>
        <w:t>　　　　　　　　　　　　　　</w:t>
      </w:r>
      <w:r>
        <w:rPr>
          <w:rFonts w:hint="eastAsia" w:ascii="方正仿宋_GBK" w:hAnsi="方正仿宋_GBK" w:eastAsia="方正仿宋_GBK" w:cs="方正仿宋_GBK"/>
          <w:sz w:val="32"/>
          <w:szCs w:val="32"/>
          <w:lang w:eastAsia="zh-CN"/>
        </w:rPr>
        <w:t>单位：万元</w:t>
      </w:r>
    </w:p>
    <w:tbl>
      <w:tblPr>
        <w:tblStyle w:val="3"/>
        <w:tblpPr w:leftFromText="180" w:rightFromText="180" w:vertAnchor="text" w:horzAnchor="page" w:tblpX="1682" w:tblpY="55"/>
        <w:tblOverlap w:val="never"/>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0"/>
        <w:gridCol w:w="4300"/>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59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黑体_GBK" w:hAnsi="方正黑体_GBK" w:eastAsia="方正黑体_GBK" w:cs="方正黑体_GBK"/>
                <w:kern w:val="2"/>
                <w:sz w:val="28"/>
                <w:szCs w:val="28"/>
                <w:lang w:val="en-US" w:eastAsia="zh-CN" w:bidi="ar-SA"/>
              </w:rPr>
            </w:pPr>
            <w:r>
              <w:rPr>
                <w:rFonts w:hint="eastAsia" w:ascii="方正黑体_GBK" w:hAnsi="方正黑体_GBK" w:eastAsia="方正黑体_GBK" w:cs="方正黑体_GBK"/>
                <w:sz w:val="28"/>
                <w:szCs w:val="28"/>
                <w:lang w:val="en-US" w:eastAsia="zh-CN"/>
              </w:rPr>
              <w:t>单位</w:t>
            </w:r>
          </w:p>
        </w:tc>
        <w:tc>
          <w:tcPr>
            <w:tcW w:w="4300" w:type="dxa"/>
            <w:tcBorders>
              <w:top w:val="single" w:color="auto" w:sz="4" w:space="0"/>
              <w:left w:val="nil"/>
              <w:bottom w:val="single" w:color="auto" w:sz="4" w:space="0"/>
              <w:right w:val="single" w:color="auto" w:sz="4" w:space="0"/>
            </w:tcBorders>
            <w:noWrap w:val="0"/>
            <w:vAlign w:val="center"/>
          </w:tcPr>
          <w:p>
            <w:pPr>
              <w:jc w:val="center"/>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金额</w:t>
            </w:r>
          </w:p>
        </w:tc>
        <w:tc>
          <w:tcPr>
            <w:tcW w:w="1790" w:type="dxa"/>
            <w:tcBorders>
              <w:top w:val="single" w:color="auto" w:sz="4" w:space="0"/>
              <w:left w:val="nil"/>
              <w:right w:val="single" w:color="auto" w:sz="4" w:space="0"/>
            </w:tcBorders>
            <w:noWrap w:val="0"/>
            <w:vAlign w:val="top"/>
          </w:tcPr>
          <w:p>
            <w:pPr>
              <w:spacing w:line="1000" w:lineRule="exact"/>
              <w:jc w:val="center"/>
              <w:rPr>
                <w:rFonts w:hint="eastAsia"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方正仿宋_GBK" w:hAnsi="方正仿宋_GBK" w:eastAsia="方正仿宋_GBK" w:cs="方正仿宋_GBK"/>
                <w:kern w:val="2"/>
                <w:sz w:val="32"/>
                <w:szCs w:val="32"/>
                <w:lang w:val="en-US" w:eastAsia="zh-CN" w:bidi="ar-SA"/>
              </w:rPr>
            </w:pPr>
            <w:r>
              <w:rPr>
                <w:rFonts w:hint="eastAsia" w:ascii="仿宋_GB2312" w:hAnsi="仿宋_GB2312" w:eastAsia="仿宋_GB2312" w:cs="Times New Roman"/>
                <w:sz w:val="32"/>
                <w:szCs w:val="32"/>
                <w:lang w:eastAsia="zh-CN"/>
              </w:rPr>
              <w:t>梁河县退役军人事务局</w:t>
            </w:r>
          </w:p>
        </w:tc>
        <w:tc>
          <w:tcPr>
            <w:tcW w:w="430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方正仿宋_GBK" w:cs="Times New Roman"/>
                <w:b w:val="0"/>
                <w:bCs/>
                <w:color w:val="000000"/>
                <w:sz w:val="28"/>
                <w:szCs w:val="28"/>
                <w:lang w:val="en-US" w:eastAsia="zh-CN"/>
              </w:rPr>
            </w:pPr>
            <w:r>
              <w:rPr>
                <w:rFonts w:hint="eastAsia" w:ascii="Times New Roman" w:hAnsi="Times New Roman" w:eastAsia="方正仿宋_GBK" w:cs="Times New Roman"/>
                <w:b w:val="0"/>
                <w:bCs/>
                <w:color w:val="000000"/>
                <w:sz w:val="28"/>
                <w:szCs w:val="28"/>
                <w:lang w:val="en-US" w:eastAsia="zh-CN"/>
              </w:rPr>
              <w:t>24.14</w:t>
            </w:r>
          </w:p>
        </w:tc>
        <w:tc>
          <w:tcPr>
            <w:tcW w:w="1790" w:type="dxa"/>
            <w:tcBorders>
              <w:left w:val="nil"/>
              <w:right w:val="single" w:color="auto" w:sz="4" w:space="0"/>
            </w:tcBorders>
            <w:noWrap w:val="0"/>
            <w:vAlign w:val="top"/>
          </w:tcPr>
          <w:p>
            <w:pPr>
              <w:widowControl/>
              <w:jc w:val="left"/>
              <w:rPr>
                <w:rFonts w:ascii="仿宋_GB2312" w:hAnsi="仿宋_GB2312"/>
                <w:sz w:val="24"/>
                <w:szCs w:val="24"/>
              </w:rPr>
            </w:pP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sectPr>
          <w:pgSz w:w="11906" w:h="16838"/>
          <w:pgMar w:top="1134" w:right="1134" w:bottom="1134" w:left="1134" w:header="851" w:footer="992" w:gutter="0"/>
          <w:cols w:space="0" w:num="1"/>
          <w:rtlGutter w:val="0"/>
          <w:docGrid w:type="lines" w:linePitch="324" w:charSpace="0"/>
        </w:sectPr>
      </w:pPr>
    </w:p>
    <w:p>
      <w:pPr>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eastAsia="zh-CN"/>
        </w:rPr>
        <w:t>提前下达</w:t>
      </w:r>
      <w:r>
        <w:rPr>
          <w:rFonts w:hint="eastAsia" w:ascii="黑体" w:hAnsi="黑体" w:eastAsia="黑体" w:cs="黑体"/>
          <w:sz w:val="32"/>
          <w:szCs w:val="32"/>
          <w:lang w:val="en-US" w:eastAsia="zh-CN"/>
        </w:rPr>
        <w:t>2023年中央</w:t>
      </w:r>
      <w:r>
        <w:rPr>
          <w:rFonts w:hint="eastAsia" w:ascii="黑体" w:hAnsi="黑体" w:eastAsia="黑体" w:cs="黑体"/>
          <w:sz w:val="32"/>
          <w:szCs w:val="32"/>
        </w:rPr>
        <w:t>优抚对象</w:t>
      </w:r>
      <w:r>
        <w:rPr>
          <w:rFonts w:hint="eastAsia" w:ascii="黑体" w:hAnsi="黑体" w:eastAsia="黑体" w:cs="黑体"/>
          <w:sz w:val="32"/>
          <w:szCs w:val="32"/>
          <w:lang w:eastAsia="zh-CN"/>
        </w:rPr>
        <w:t>医疗保障经费预算</w:t>
      </w:r>
      <w:r>
        <w:rPr>
          <w:rFonts w:hint="eastAsia" w:ascii="黑体" w:hAnsi="黑体" w:eastAsia="黑体" w:cs="黑体"/>
          <w:sz w:val="32"/>
          <w:szCs w:val="32"/>
        </w:rPr>
        <w:t>绩效目标表</w:t>
      </w:r>
    </w:p>
    <w:p>
      <w:pPr>
        <w:jc w:val="center"/>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（20</w:t>
      </w:r>
      <w:r>
        <w:rPr>
          <w:rFonts w:hint="default" w:ascii="Times New Roman" w:hAnsi="Times New Roman" w:eastAsia="方正楷体_GBK" w:cs="Times New Roman"/>
          <w:sz w:val="32"/>
          <w:szCs w:val="32"/>
          <w:lang w:val="en-US" w:eastAsia="zh-CN"/>
        </w:rPr>
        <w:t>23</w:t>
      </w:r>
      <w:r>
        <w:rPr>
          <w:rFonts w:hint="default" w:ascii="Times New Roman" w:hAnsi="Times New Roman" w:eastAsia="方正楷体_GBK" w:cs="Times New Roman"/>
          <w:sz w:val="32"/>
          <w:szCs w:val="32"/>
        </w:rPr>
        <w:t>年度）</w:t>
      </w:r>
    </w:p>
    <w:tbl>
      <w:tblPr>
        <w:tblStyle w:val="4"/>
        <w:tblW w:w="10354" w:type="dxa"/>
        <w:tblInd w:w="-8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440"/>
        <w:gridCol w:w="1750"/>
        <w:gridCol w:w="3900"/>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8"/>
                <w:szCs w:val="28"/>
                <w:lang w:eastAsia="zh-CN"/>
              </w:rPr>
            </w:pPr>
            <w:r>
              <w:rPr>
                <w:rFonts w:hint="default" w:ascii="Times New Roman" w:hAnsi="Times New Roman" w:eastAsia="方正仿宋_GBK" w:cs="Times New Roman"/>
                <w:kern w:val="0"/>
                <w:sz w:val="28"/>
                <w:szCs w:val="28"/>
              </w:rPr>
              <w:t>项目名称</w:t>
            </w:r>
          </w:p>
        </w:tc>
        <w:tc>
          <w:tcPr>
            <w:tcW w:w="620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kern w:val="0"/>
                <w:sz w:val="28"/>
                <w:szCs w:val="28"/>
                <w:lang w:eastAsia="zh-CN"/>
              </w:rPr>
            </w:pPr>
            <w:r>
              <w:rPr>
                <w:rFonts w:hint="default" w:ascii="Times New Roman" w:hAnsi="Times New Roman" w:eastAsia="方正仿宋_GBK" w:cs="Times New Roman"/>
                <w:kern w:val="0"/>
                <w:sz w:val="28"/>
                <w:szCs w:val="28"/>
                <w:lang w:eastAsia="zh-CN"/>
              </w:rPr>
              <w:t>提前下达</w:t>
            </w:r>
            <w:r>
              <w:rPr>
                <w:rFonts w:hint="default" w:ascii="Times New Roman" w:hAnsi="Times New Roman" w:eastAsia="方正仿宋_GBK" w:cs="Times New Roman"/>
                <w:kern w:val="0"/>
                <w:sz w:val="28"/>
                <w:szCs w:val="28"/>
                <w:lang w:val="en-US" w:eastAsia="zh-CN"/>
              </w:rPr>
              <w:t>2023年中央</w:t>
            </w:r>
            <w:r>
              <w:rPr>
                <w:rFonts w:hint="default" w:ascii="Times New Roman" w:hAnsi="Times New Roman" w:eastAsia="方正仿宋_GBK" w:cs="Times New Roman"/>
                <w:kern w:val="0"/>
                <w:sz w:val="28"/>
                <w:szCs w:val="28"/>
              </w:rPr>
              <w:t>优抚对象</w:t>
            </w:r>
            <w:r>
              <w:rPr>
                <w:rFonts w:hint="eastAsia" w:ascii="Times New Roman" w:hAnsi="Times New Roman" w:eastAsia="方正仿宋_GBK" w:cs="Times New Roman"/>
                <w:kern w:val="0"/>
                <w:sz w:val="28"/>
                <w:szCs w:val="28"/>
                <w:lang w:eastAsia="zh-CN"/>
              </w:rPr>
              <w:t>医疗保障</w:t>
            </w:r>
            <w:r>
              <w:rPr>
                <w:rFonts w:hint="default" w:ascii="Times New Roman" w:hAnsi="Times New Roman" w:eastAsia="方正仿宋_GBK" w:cs="Times New Roman"/>
                <w:kern w:val="0"/>
                <w:sz w:val="28"/>
                <w:szCs w:val="28"/>
                <w:lang w:eastAsia="zh-CN"/>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150"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spacing w:val="0"/>
                <w:kern w:val="0"/>
                <w:sz w:val="28"/>
                <w:szCs w:val="28"/>
                <w:lang w:eastAsia="zh-CN"/>
              </w:rPr>
              <w:t>项目实施</w:t>
            </w:r>
            <w:r>
              <w:rPr>
                <w:rFonts w:hint="default" w:ascii="Times New Roman" w:hAnsi="Times New Roman" w:eastAsia="方正仿宋_GBK" w:cs="Times New Roman"/>
                <w:spacing w:val="0"/>
                <w:kern w:val="0"/>
                <w:sz w:val="28"/>
                <w:szCs w:val="28"/>
              </w:rPr>
              <w:t>部门</w:t>
            </w:r>
          </w:p>
        </w:tc>
        <w:tc>
          <w:tcPr>
            <w:tcW w:w="62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8"/>
                <w:szCs w:val="28"/>
              </w:rPr>
              <w:t>德宏州</w:t>
            </w:r>
            <w:r>
              <w:rPr>
                <w:rFonts w:hint="default" w:ascii="Times New Roman" w:hAnsi="Times New Roman" w:eastAsia="方正仿宋_GBK" w:cs="Times New Roman"/>
                <w:kern w:val="0"/>
                <w:sz w:val="28"/>
                <w:szCs w:val="28"/>
                <w:lang w:eastAsia="zh-CN"/>
              </w:rPr>
              <w:t>退役军人事务局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150" w:type="dxa"/>
            <w:gridSpan w:val="3"/>
            <w:tcBorders>
              <w:top w:val="nil"/>
              <w:left w:val="single" w:color="auto" w:sz="4" w:space="0"/>
              <w:bottom w:val="single" w:color="auto" w:sz="4" w:space="0"/>
              <w:right w:val="single" w:color="auto" w:sz="4" w:space="0"/>
            </w:tcBorders>
            <w:noWrap w:val="0"/>
            <w:vAlign w:val="top"/>
          </w:tcPr>
          <w:p>
            <w:pPr>
              <w:jc w:val="center"/>
              <w:rPr>
                <w:rFonts w:hint="eastAsia"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0"/>
                <w:sz w:val="28"/>
                <w:szCs w:val="28"/>
                <w:lang w:eastAsia="zh-CN"/>
              </w:rPr>
              <w:t>项目</w:t>
            </w:r>
            <w:r>
              <w:rPr>
                <w:rFonts w:hint="default" w:ascii="Times New Roman" w:hAnsi="Times New Roman" w:eastAsia="方正仿宋_GBK" w:cs="Times New Roman"/>
                <w:kern w:val="0"/>
                <w:sz w:val="28"/>
                <w:szCs w:val="28"/>
              </w:rPr>
              <w:t>资金</w:t>
            </w:r>
            <w:r>
              <w:rPr>
                <w:rFonts w:hint="eastAsia" w:ascii="Times New Roman" w:hAnsi="Times New Roman" w:eastAsia="方正仿宋_GBK" w:cs="Times New Roman"/>
                <w:kern w:val="0"/>
                <w:sz w:val="28"/>
                <w:szCs w:val="28"/>
                <w:lang w:eastAsia="zh-CN"/>
              </w:rPr>
              <w:t>（万元）</w:t>
            </w:r>
          </w:p>
        </w:tc>
        <w:tc>
          <w:tcPr>
            <w:tcW w:w="620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年度总体目标</w:t>
            </w:r>
          </w:p>
        </w:tc>
        <w:tc>
          <w:tcPr>
            <w:tcW w:w="9394" w:type="dxa"/>
            <w:gridSpan w:val="4"/>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kern w:val="2"/>
                <w:sz w:val="24"/>
                <w:szCs w:val="24"/>
                <w:lang w:eastAsia="zh-CN"/>
              </w:rPr>
            </w:pPr>
            <w:r>
              <w:rPr>
                <w:rFonts w:hint="eastAsia" w:ascii="Times New Roman" w:hAnsi="Times New Roman" w:eastAsia="方正仿宋_GBK" w:cs="Times New Roman"/>
                <w:kern w:val="0"/>
                <w:sz w:val="24"/>
                <w:szCs w:val="24"/>
                <w:lang w:eastAsia="zh-CN"/>
              </w:rPr>
              <w:t>通过发放全州优抚对象医疗补助资金，对优抚对象参保缴费、住院和门诊费用进行补助，有效帮助解决优抚对象医疗难问题。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60" w:type="dxa"/>
            <w:vMerge w:val="restart"/>
            <w:tcBorders>
              <w:top w:val="nil"/>
              <w:left w:val="single" w:color="auto" w:sz="4" w:space="0"/>
              <w:bottom w:val="single" w:color="auto" w:sz="4" w:space="0"/>
              <w:right w:val="single" w:color="auto" w:sz="4" w:space="0"/>
            </w:tcBorders>
            <w:noWrap w:val="0"/>
            <w:vAlign w:val="top"/>
          </w:tcPr>
          <w:p>
            <w:pPr>
              <w:jc w:val="center"/>
              <w:rPr>
                <w:rFonts w:hint="default" w:ascii="Times New Roman" w:hAnsi="Times New Roman" w:eastAsia="方正仿宋_GBK" w:cs="Times New Roman"/>
                <w:kern w:val="2"/>
                <w:sz w:val="21"/>
              </w:rPr>
            </w:pPr>
          </w:p>
          <w:p>
            <w:pPr>
              <w:jc w:val="center"/>
              <w:rPr>
                <w:rFonts w:hint="default" w:ascii="Times New Roman" w:hAnsi="Times New Roman" w:eastAsia="方正仿宋_GBK" w:cs="Times New Roman"/>
                <w:kern w:val="0"/>
                <w:sz w:val="20"/>
              </w:rPr>
            </w:pPr>
          </w:p>
          <w:p>
            <w:pPr>
              <w:jc w:val="center"/>
              <w:rPr>
                <w:rFonts w:hint="default" w:ascii="Times New Roman" w:hAnsi="Times New Roman" w:eastAsia="方正仿宋_GBK" w:cs="Times New Roman"/>
                <w:kern w:val="0"/>
                <w:sz w:val="28"/>
                <w:szCs w:val="28"/>
              </w:rPr>
            </w:pPr>
          </w:p>
          <w:p>
            <w:pPr>
              <w:jc w:val="center"/>
              <w:rPr>
                <w:rFonts w:hint="default" w:ascii="Times New Roman" w:hAnsi="Times New Roman" w:eastAsia="方正仿宋_GBK" w:cs="Times New Roman"/>
                <w:kern w:val="0"/>
                <w:sz w:val="28"/>
                <w:szCs w:val="28"/>
              </w:rPr>
            </w:pPr>
          </w:p>
          <w:p>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绩</w:t>
            </w:r>
          </w:p>
          <w:p>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效</w:t>
            </w:r>
          </w:p>
          <w:p>
            <w:pPr>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目</w:t>
            </w:r>
          </w:p>
          <w:p>
            <w:pPr>
              <w:jc w:val="center"/>
              <w:rPr>
                <w:rFonts w:hint="default" w:ascii="Times New Roman" w:hAnsi="Times New Roman" w:eastAsia="方正仿宋_GBK" w:cs="Times New Roman"/>
                <w:kern w:val="2"/>
                <w:sz w:val="21"/>
              </w:rPr>
            </w:pPr>
            <w:r>
              <w:rPr>
                <w:rFonts w:hint="default" w:ascii="Times New Roman" w:hAnsi="Times New Roman" w:eastAsia="方正仿宋_GBK" w:cs="Times New Roman"/>
                <w:kern w:val="0"/>
                <w:sz w:val="28"/>
                <w:szCs w:val="28"/>
              </w:rPr>
              <w:t>标</w:t>
            </w:r>
          </w:p>
        </w:tc>
        <w:tc>
          <w:tcPr>
            <w:tcW w:w="144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一级指标</w:t>
            </w:r>
          </w:p>
        </w:tc>
        <w:tc>
          <w:tcPr>
            <w:tcW w:w="175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二级指标</w:t>
            </w:r>
          </w:p>
        </w:tc>
        <w:tc>
          <w:tcPr>
            <w:tcW w:w="390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eastAsia" w:ascii="Times New Roman" w:hAnsi="Times New Roman" w:eastAsia="方正仿宋_GBK" w:cs="Times New Roman"/>
                <w:kern w:val="0"/>
                <w:sz w:val="24"/>
                <w:szCs w:val="24"/>
                <w:lang w:eastAsia="zh-CN"/>
              </w:rPr>
              <w:t>三</w:t>
            </w:r>
            <w:r>
              <w:rPr>
                <w:rFonts w:hint="default" w:ascii="Times New Roman" w:hAnsi="Times New Roman" w:eastAsia="方正仿宋_GBK" w:cs="Times New Roman"/>
                <w:kern w:val="0"/>
                <w:sz w:val="24"/>
                <w:szCs w:val="24"/>
              </w:rPr>
              <w:t>级指标</w:t>
            </w:r>
          </w:p>
        </w:tc>
        <w:tc>
          <w:tcPr>
            <w:tcW w:w="230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kern w:val="2"/>
                <w:sz w:val="21"/>
              </w:rPr>
            </w:pPr>
          </w:p>
        </w:tc>
        <w:tc>
          <w:tcPr>
            <w:tcW w:w="1440" w:type="dxa"/>
            <w:vMerge w:val="restart"/>
            <w:tcBorders>
              <w:top w:val="nil"/>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p>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产出指标</w:t>
            </w:r>
          </w:p>
        </w:tc>
        <w:tc>
          <w:tcPr>
            <w:tcW w:w="1750" w:type="dxa"/>
            <w:tcBorders>
              <w:top w:val="nil"/>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数量指标</w:t>
            </w:r>
          </w:p>
        </w:tc>
        <w:tc>
          <w:tcPr>
            <w:tcW w:w="3900" w:type="dxa"/>
            <w:tcBorders>
              <w:top w:val="single" w:color="auto" w:sz="4" w:space="0"/>
              <w:left w:val="nil"/>
              <w:right w:val="single" w:color="auto" w:sz="4" w:space="0"/>
            </w:tcBorders>
            <w:noWrap w:val="0"/>
            <w:vAlign w:val="center"/>
          </w:tcPr>
          <w:p>
            <w:pPr>
              <w:jc w:val="left"/>
              <w:rPr>
                <w:rFonts w:hint="eastAsia" w:ascii="Times New Roman" w:hAnsi="Times New Roman" w:eastAsia="方正仿宋_GBK" w:cs="Times New Roman"/>
                <w:spacing w:val="-20"/>
                <w:kern w:val="2"/>
                <w:sz w:val="24"/>
                <w:szCs w:val="24"/>
                <w:lang w:eastAsia="zh-CN"/>
              </w:rPr>
            </w:pPr>
            <w:r>
              <w:rPr>
                <w:rFonts w:hint="eastAsia" w:ascii="Times New Roman" w:hAnsi="Times New Roman" w:eastAsia="方正仿宋_GBK" w:cs="Times New Roman"/>
                <w:spacing w:val="-20"/>
                <w:kern w:val="2"/>
                <w:sz w:val="24"/>
                <w:szCs w:val="24"/>
                <w:lang w:eastAsia="zh-CN"/>
              </w:rPr>
              <w:t>享受医疗待遇优抚对象人数</w:t>
            </w:r>
          </w:p>
        </w:tc>
        <w:tc>
          <w:tcPr>
            <w:tcW w:w="23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&gt;</w:t>
            </w:r>
            <w:r>
              <w:rPr>
                <w:rFonts w:hint="eastAsia" w:ascii="Times New Roman" w:hAnsi="Times New Roman" w:eastAsia="方正仿宋_GBK" w:cs="Times New Roman"/>
                <w:kern w:val="0"/>
                <w:sz w:val="24"/>
                <w:szCs w:val="24"/>
                <w:lang w:val="en-US" w:eastAsia="zh-CN"/>
              </w:rPr>
              <w:t xml:space="preserve">  </w:t>
            </w:r>
            <w:r>
              <w:rPr>
                <w:rFonts w:hint="default" w:ascii="Times New Roman" w:hAnsi="Times New Roman" w:eastAsia="方正仿宋_GBK" w:cs="Times New Roman"/>
                <w:kern w:val="0"/>
                <w:sz w:val="24"/>
                <w:szCs w:val="24"/>
                <w:lang w:val="en-US" w:eastAsia="zh-CN"/>
              </w:rPr>
              <w:t>万</w:t>
            </w:r>
            <w:r>
              <w:rPr>
                <w:rFonts w:hint="default" w:ascii="Times New Roman" w:hAnsi="Times New Roman" w:eastAsia="方正仿宋_GBK" w:cs="Times New Roman"/>
                <w:kern w:val="0"/>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kern w:val="2"/>
                <w:sz w:val="21"/>
              </w:rPr>
            </w:pPr>
          </w:p>
        </w:tc>
        <w:tc>
          <w:tcPr>
            <w:tcW w:w="1440" w:type="dxa"/>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kern w:val="2"/>
                <w:sz w:val="24"/>
                <w:szCs w:val="24"/>
              </w:rPr>
            </w:pPr>
          </w:p>
        </w:tc>
        <w:tc>
          <w:tcPr>
            <w:tcW w:w="1750" w:type="dxa"/>
            <w:vMerge w:val="restart"/>
            <w:tcBorders>
              <w:top w:val="nil"/>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质量指标</w:t>
            </w:r>
          </w:p>
        </w:tc>
        <w:tc>
          <w:tcPr>
            <w:tcW w:w="3900" w:type="dxa"/>
            <w:tcBorders>
              <w:top w:val="single" w:color="auto" w:sz="4" w:space="0"/>
              <w:left w:val="nil"/>
              <w:bottom w:val="single" w:color="auto" w:sz="4" w:space="0"/>
              <w:right w:val="single" w:color="auto" w:sz="4" w:space="0"/>
            </w:tcBorders>
            <w:noWrap w:val="0"/>
            <w:vAlign w:val="center"/>
          </w:tcPr>
          <w:p>
            <w:pPr>
              <w:jc w:val="left"/>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lang w:eastAsia="zh-CN"/>
              </w:rPr>
              <w:t>经费足额拨付率</w:t>
            </w:r>
          </w:p>
        </w:tc>
        <w:tc>
          <w:tcPr>
            <w:tcW w:w="230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kern w:val="2"/>
                <w:sz w:val="21"/>
              </w:rPr>
            </w:pPr>
          </w:p>
        </w:tc>
        <w:tc>
          <w:tcPr>
            <w:tcW w:w="1440" w:type="dxa"/>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kern w:val="2"/>
                <w:sz w:val="24"/>
                <w:szCs w:val="24"/>
              </w:rPr>
            </w:pPr>
          </w:p>
        </w:tc>
        <w:tc>
          <w:tcPr>
            <w:tcW w:w="1750" w:type="dxa"/>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kern w:val="2"/>
                <w:sz w:val="24"/>
                <w:szCs w:val="24"/>
              </w:rPr>
            </w:pPr>
          </w:p>
        </w:tc>
        <w:tc>
          <w:tcPr>
            <w:tcW w:w="3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0"/>
                <w:sz w:val="24"/>
                <w:szCs w:val="24"/>
              </w:rPr>
              <w:t>优抚对象</w:t>
            </w:r>
            <w:r>
              <w:rPr>
                <w:rFonts w:hint="eastAsia" w:ascii="Times New Roman" w:hAnsi="Times New Roman" w:eastAsia="方正仿宋_GBK" w:cs="Times New Roman"/>
                <w:kern w:val="0"/>
                <w:sz w:val="24"/>
                <w:szCs w:val="24"/>
                <w:lang w:eastAsia="zh-CN"/>
              </w:rPr>
              <w:t>医疗</w:t>
            </w:r>
            <w:r>
              <w:rPr>
                <w:rFonts w:hint="default" w:ascii="Times New Roman" w:hAnsi="Times New Roman" w:eastAsia="方正仿宋_GBK" w:cs="Times New Roman"/>
                <w:kern w:val="0"/>
                <w:sz w:val="24"/>
                <w:szCs w:val="24"/>
              </w:rPr>
              <w:t>补助标准按规定执行</w:t>
            </w:r>
            <w:r>
              <w:rPr>
                <w:rFonts w:hint="default" w:ascii="Times New Roman" w:hAnsi="Times New Roman" w:eastAsia="方正仿宋_GBK" w:cs="Times New Roman"/>
                <w:kern w:val="0"/>
                <w:sz w:val="24"/>
                <w:szCs w:val="24"/>
                <w:lang w:eastAsia="zh-CN"/>
              </w:rPr>
              <w:t>率</w:t>
            </w:r>
          </w:p>
        </w:tc>
        <w:tc>
          <w:tcPr>
            <w:tcW w:w="23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kern w:val="2"/>
                <w:sz w:val="21"/>
              </w:rPr>
            </w:pPr>
          </w:p>
        </w:tc>
        <w:tc>
          <w:tcPr>
            <w:tcW w:w="1440" w:type="dxa"/>
            <w:vMerge w:val="continue"/>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方正仿宋_GBK" w:cs="Times New Roman"/>
                <w:kern w:val="2"/>
                <w:sz w:val="24"/>
                <w:szCs w:val="24"/>
              </w:rPr>
            </w:pPr>
          </w:p>
        </w:tc>
        <w:tc>
          <w:tcPr>
            <w:tcW w:w="175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时效指标</w:t>
            </w:r>
          </w:p>
        </w:tc>
        <w:tc>
          <w:tcPr>
            <w:tcW w:w="3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lang w:eastAsia="zh-CN"/>
              </w:rPr>
              <w:t>优抚对象</w:t>
            </w:r>
            <w:r>
              <w:rPr>
                <w:rFonts w:hint="eastAsia" w:ascii="Times New Roman" w:hAnsi="Times New Roman" w:eastAsia="方正仿宋_GBK" w:cs="Times New Roman"/>
                <w:kern w:val="0"/>
                <w:sz w:val="24"/>
                <w:szCs w:val="24"/>
                <w:lang w:eastAsia="zh-CN"/>
              </w:rPr>
              <w:t>医疗保障经费</w:t>
            </w:r>
            <w:r>
              <w:rPr>
                <w:rFonts w:hint="default" w:ascii="Times New Roman" w:hAnsi="Times New Roman" w:eastAsia="方正仿宋_GBK" w:cs="Times New Roman"/>
                <w:kern w:val="0"/>
                <w:sz w:val="24"/>
                <w:szCs w:val="24"/>
                <w:lang w:eastAsia="zh-CN"/>
              </w:rPr>
              <w:t>及时拨付率</w:t>
            </w:r>
          </w:p>
        </w:tc>
        <w:tc>
          <w:tcPr>
            <w:tcW w:w="23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0"/>
                <w:sz w:val="24"/>
                <w:szCs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kern w:val="2"/>
                <w:sz w:val="21"/>
              </w:rPr>
            </w:pPr>
          </w:p>
        </w:tc>
        <w:tc>
          <w:tcPr>
            <w:tcW w:w="144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效益指标</w:t>
            </w:r>
          </w:p>
        </w:tc>
        <w:tc>
          <w:tcPr>
            <w:tcW w:w="1750"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0"/>
                <w:sz w:val="24"/>
                <w:szCs w:val="24"/>
              </w:rPr>
              <w:t>社会效益指</w:t>
            </w:r>
            <w:r>
              <w:rPr>
                <w:rFonts w:hint="eastAsia" w:ascii="Times New Roman" w:hAnsi="Times New Roman" w:eastAsia="方正仿宋_GBK" w:cs="Times New Roman"/>
                <w:kern w:val="0"/>
                <w:sz w:val="24"/>
                <w:szCs w:val="24"/>
                <w:lang w:eastAsia="zh-CN"/>
              </w:rPr>
              <w:t>标</w:t>
            </w:r>
          </w:p>
        </w:tc>
        <w:tc>
          <w:tcPr>
            <w:tcW w:w="3900" w:type="dxa"/>
            <w:tcBorders>
              <w:top w:val="single" w:color="auto" w:sz="4" w:space="0"/>
              <w:left w:val="nil"/>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2"/>
                <w:sz w:val="24"/>
                <w:szCs w:val="24"/>
                <w:lang w:val="en-US" w:eastAsia="zh-CN"/>
              </w:rPr>
            </w:pPr>
            <w:r>
              <w:rPr>
                <w:rFonts w:hint="default" w:ascii="Times New Roman" w:hAnsi="Times New Roman" w:eastAsia="方正仿宋_GBK" w:cs="Times New Roman"/>
                <w:kern w:val="0"/>
                <w:sz w:val="24"/>
                <w:szCs w:val="24"/>
              </w:rPr>
              <w:t>优抚对象生活情况</w:t>
            </w:r>
            <w:r>
              <w:rPr>
                <w:rFonts w:hint="eastAsia" w:ascii="Times New Roman" w:hAnsi="Times New Roman" w:eastAsia="方正仿宋_GBK" w:cs="Times New Roman"/>
                <w:kern w:val="0"/>
                <w:sz w:val="24"/>
                <w:szCs w:val="24"/>
                <w:lang w:val="en-US" w:eastAsia="zh-CN"/>
              </w:rPr>
              <w:t xml:space="preserve">      </w:t>
            </w:r>
          </w:p>
        </w:tc>
        <w:tc>
          <w:tcPr>
            <w:tcW w:w="23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有效改善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9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kern w:val="2"/>
                <w:sz w:val="21"/>
              </w:rPr>
            </w:pP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满意度指标</w:t>
            </w:r>
          </w:p>
        </w:tc>
        <w:tc>
          <w:tcPr>
            <w:tcW w:w="17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服务对象</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满意度指标</w:t>
            </w:r>
          </w:p>
        </w:tc>
        <w:tc>
          <w:tcPr>
            <w:tcW w:w="39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0"/>
                <w:sz w:val="24"/>
                <w:szCs w:val="24"/>
              </w:rPr>
              <w:t>优抚对象满意度</w:t>
            </w:r>
          </w:p>
        </w:tc>
        <w:tc>
          <w:tcPr>
            <w:tcW w:w="23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2"/>
                <w:sz w:val="24"/>
                <w:szCs w:val="24"/>
              </w:rPr>
            </w:pPr>
            <w:r>
              <w:rPr>
                <w:rFonts w:hint="eastAsia" w:ascii="东文宋体" w:hAnsi="东文宋体" w:eastAsia="东文宋体" w:cs="东文宋体"/>
                <w:kern w:val="0"/>
                <w:sz w:val="24"/>
                <w:szCs w:val="24"/>
                <w:lang w:val="en-US" w:eastAsia="zh-CN"/>
              </w:rPr>
              <w:t>≥</w:t>
            </w:r>
            <w:r>
              <w:rPr>
                <w:rFonts w:hint="eastAsia" w:ascii="Times New Roman" w:hAnsi="Times New Roman" w:eastAsia="方正仿宋_GBK" w:cs="Times New Roman"/>
                <w:kern w:val="0"/>
                <w:sz w:val="24"/>
                <w:szCs w:val="24"/>
                <w:lang w:val="en-US" w:eastAsia="zh-CN"/>
              </w:rPr>
              <w:t>85</w:t>
            </w:r>
            <w:r>
              <w:rPr>
                <w:rFonts w:hint="default" w:ascii="Times New Roman" w:hAnsi="Times New Roman" w:eastAsia="方正仿宋_GBK" w:cs="Times New Roman"/>
                <w:kern w:val="0"/>
                <w:sz w:val="24"/>
                <w:szCs w:val="24"/>
              </w:rPr>
              <w:t>%</w:t>
            </w:r>
          </w:p>
        </w:tc>
      </w:tr>
    </w:tbl>
    <w:p>
      <w:pPr>
        <w:tabs>
          <w:tab w:val="left" w:pos="1555"/>
        </w:tabs>
        <w:rPr>
          <w:rFonts w:hint="default" w:ascii="Times New Roman" w:hAnsi="Times New Roman" w:eastAsia="方正仿宋_GBK" w:cs="Times New Roman"/>
          <w:sz w:val="32"/>
          <w:szCs w:val="32"/>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sectPr>
      <w:footerReference r:id="rId5" w:type="first"/>
      <w:footerReference r:id="rId3" w:type="default"/>
      <w:footerReference r:id="rId4" w:type="even"/>
      <w:pgSz w:w="11906" w:h="16838"/>
      <w:pgMar w:top="2098" w:right="1474" w:bottom="1984" w:left="1587" w:header="851" w:footer="1134"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- 2 -</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8260" w:firstLineChars="2950"/>
      <w:rPr>
        <w:rStyle w:val="6"/>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eastAsia="zh-CN"/>
                      </w:rPr>
                      <w:t xml:space="preserve">  </w:t>
                    </w:r>
                    <w:r>
                      <w:rPr>
                        <w:rFonts w:hint="default" w:ascii="Times New Roman" w:hAnsi="Times New Roman" w:eastAsia="宋体" w:cs="Times New Roman"/>
                        <w:sz w:val="28"/>
                        <w:szCs w:val="28"/>
                        <w:lang w:eastAsia="zh-CN"/>
                      </w:rPr>
                      <w:t>—</w:t>
                    </w:r>
                  </w:p>
                </w:txbxContent>
              </v:textbox>
            </v:shape>
          </w:pict>
        </mc:Fallback>
      </mc:AlternateContent>
    </w:r>
    <w:r>
      <w:rPr>
        <w:rStyle w:val="6"/>
        <w:rFonts w:hint="eastAsia" w:ascii="宋体" w:hAnsi="宋体"/>
        <w:sz w:val="28"/>
        <w:szCs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62"/>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719CD9E9-C643-470C-851A-0B7E3A6D9908}"/>
    <w:docVar w:name="DocumentName" w:val="梁财社〔2023〕5号于提前下达2023年中央优抚对象医疗保障经费预算的通知（01 中央直达资金）"/>
  </w:docVars>
  <w:rsids>
    <w:rsidRoot w:val="00000000"/>
    <w:rsid w:val="00830B3A"/>
    <w:rsid w:val="01464B73"/>
    <w:rsid w:val="05B97996"/>
    <w:rsid w:val="06007873"/>
    <w:rsid w:val="0786416F"/>
    <w:rsid w:val="08C973F0"/>
    <w:rsid w:val="09745825"/>
    <w:rsid w:val="09E911F1"/>
    <w:rsid w:val="0AE5706E"/>
    <w:rsid w:val="0B0A6A71"/>
    <w:rsid w:val="0C5B035E"/>
    <w:rsid w:val="0C83624D"/>
    <w:rsid w:val="0D3F0EEB"/>
    <w:rsid w:val="0DBC559A"/>
    <w:rsid w:val="0E2142A1"/>
    <w:rsid w:val="0FCB1CE9"/>
    <w:rsid w:val="102F7315"/>
    <w:rsid w:val="10806F29"/>
    <w:rsid w:val="1091445F"/>
    <w:rsid w:val="10E45564"/>
    <w:rsid w:val="11FC7480"/>
    <w:rsid w:val="12B67DF9"/>
    <w:rsid w:val="13341197"/>
    <w:rsid w:val="138419EE"/>
    <w:rsid w:val="13A21647"/>
    <w:rsid w:val="13A6267C"/>
    <w:rsid w:val="148005FB"/>
    <w:rsid w:val="150F5AD2"/>
    <w:rsid w:val="157818E8"/>
    <w:rsid w:val="18763BA5"/>
    <w:rsid w:val="19B16135"/>
    <w:rsid w:val="19CF3670"/>
    <w:rsid w:val="1A1E05BA"/>
    <w:rsid w:val="1A7D6D85"/>
    <w:rsid w:val="1B9D1623"/>
    <w:rsid w:val="1C172982"/>
    <w:rsid w:val="1D815751"/>
    <w:rsid w:val="1DD646B6"/>
    <w:rsid w:val="1DEA7DC2"/>
    <w:rsid w:val="1EA0242D"/>
    <w:rsid w:val="1EF15C06"/>
    <w:rsid w:val="1FC666FD"/>
    <w:rsid w:val="202424BD"/>
    <w:rsid w:val="2108113C"/>
    <w:rsid w:val="21E41377"/>
    <w:rsid w:val="227A5B2F"/>
    <w:rsid w:val="22A83ADD"/>
    <w:rsid w:val="2307485F"/>
    <w:rsid w:val="23494274"/>
    <w:rsid w:val="235829B4"/>
    <w:rsid w:val="246F5D80"/>
    <w:rsid w:val="25766390"/>
    <w:rsid w:val="267A18CC"/>
    <w:rsid w:val="273208E7"/>
    <w:rsid w:val="27327F13"/>
    <w:rsid w:val="279D33AE"/>
    <w:rsid w:val="27AC3A14"/>
    <w:rsid w:val="283B2521"/>
    <w:rsid w:val="28AC1ED8"/>
    <w:rsid w:val="2B4D5322"/>
    <w:rsid w:val="2C213B0E"/>
    <w:rsid w:val="2C622667"/>
    <w:rsid w:val="2C8A36E0"/>
    <w:rsid w:val="2DC027C2"/>
    <w:rsid w:val="2F10570F"/>
    <w:rsid w:val="2F2819F8"/>
    <w:rsid w:val="2FA233EE"/>
    <w:rsid w:val="315D7DA4"/>
    <w:rsid w:val="317967B1"/>
    <w:rsid w:val="32026C74"/>
    <w:rsid w:val="32572CB0"/>
    <w:rsid w:val="32CB2F7B"/>
    <w:rsid w:val="33E25DEE"/>
    <w:rsid w:val="34E51D3A"/>
    <w:rsid w:val="357A2BD6"/>
    <w:rsid w:val="35F516DF"/>
    <w:rsid w:val="37660868"/>
    <w:rsid w:val="3782629D"/>
    <w:rsid w:val="380657E0"/>
    <w:rsid w:val="3A1145AF"/>
    <w:rsid w:val="3A4F3806"/>
    <w:rsid w:val="3D1E75A7"/>
    <w:rsid w:val="3D6544F0"/>
    <w:rsid w:val="3F6049B7"/>
    <w:rsid w:val="40203954"/>
    <w:rsid w:val="4038606A"/>
    <w:rsid w:val="40C50F64"/>
    <w:rsid w:val="42253A94"/>
    <w:rsid w:val="422B0AC7"/>
    <w:rsid w:val="43FA3136"/>
    <w:rsid w:val="44216393"/>
    <w:rsid w:val="44D7423A"/>
    <w:rsid w:val="45FF5F18"/>
    <w:rsid w:val="46AF3BC9"/>
    <w:rsid w:val="47CC6BDA"/>
    <w:rsid w:val="47E257F5"/>
    <w:rsid w:val="47FE7947"/>
    <w:rsid w:val="4868169E"/>
    <w:rsid w:val="49BF0020"/>
    <w:rsid w:val="4A14515D"/>
    <w:rsid w:val="4B323368"/>
    <w:rsid w:val="4BA062CE"/>
    <w:rsid w:val="4BE27134"/>
    <w:rsid w:val="4CF1183F"/>
    <w:rsid w:val="4D77008C"/>
    <w:rsid w:val="4D903DD3"/>
    <w:rsid w:val="4DE64F85"/>
    <w:rsid w:val="4E305B81"/>
    <w:rsid w:val="4E8C28E4"/>
    <w:rsid w:val="4E917EA0"/>
    <w:rsid w:val="4F0E1D90"/>
    <w:rsid w:val="4FC41F46"/>
    <w:rsid w:val="50511053"/>
    <w:rsid w:val="505209FD"/>
    <w:rsid w:val="512245C8"/>
    <w:rsid w:val="54FE12AD"/>
    <w:rsid w:val="55BE3C17"/>
    <w:rsid w:val="5620087B"/>
    <w:rsid w:val="56455A59"/>
    <w:rsid w:val="58940722"/>
    <w:rsid w:val="590B7542"/>
    <w:rsid w:val="5A333888"/>
    <w:rsid w:val="5B2F6498"/>
    <w:rsid w:val="5B3C5A35"/>
    <w:rsid w:val="5D625B32"/>
    <w:rsid w:val="5ED66A25"/>
    <w:rsid w:val="61353447"/>
    <w:rsid w:val="621D4E67"/>
    <w:rsid w:val="62790E71"/>
    <w:rsid w:val="62FB3F34"/>
    <w:rsid w:val="65CE47BF"/>
    <w:rsid w:val="65F64448"/>
    <w:rsid w:val="6633285F"/>
    <w:rsid w:val="6A855C4B"/>
    <w:rsid w:val="6BDF40EE"/>
    <w:rsid w:val="6D2A0593"/>
    <w:rsid w:val="6DDC342C"/>
    <w:rsid w:val="6E0C4A49"/>
    <w:rsid w:val="6E175BAB"/>
    <w:rsid w:val="719515F5"/>
    <w:rsid w:val="719F2C97"/>
    <w:rsid w:val="73066F61"/>
    <w:rsid w:val="73262C99"/>
    <w:rsid w:val="73663EDE"/>
    <w:rsid w:val="736F2C8B"/>
    <w:rsid w:val="73C2712E"/>
    <w:rsid w:val="74737ACA"/>
    <w:rsid w:val="75277D66"/>
    <w:rsid w:val="76460B34"/>
    <w:rsid w:val="76514837"/>
    <w:rsid w:val="76B8261D"/>
    <w:rsid w:val="78117866"/>
    <w:rsid w:val="78451356"/>
    <w:rsid w:val="78A94A62"/>
    <w:rsid w:val="7BA30EF9"/>
    <w:rsid w:val="7BD621F0"/>
    <w:rsid w:val="7C6061A4"/>
    <w:rsid w:val="7DB83FEE"/>
    <w:rsid w:val="7DBE3C71"/>
    <w:rsid w:val="7EF07283"/>
    <w:rsid w:val="7F7E27DE"/>
    <w:rsid w:val="7F945FFE"/>
    <w:rsid w:val="7FD67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rPr>
      <w:rFonts w:ascii="Times New Roman" w:hAnsi="Times New Roman" w:eastAsia="宋体" w:cs="Times New Roman"/>
    </w:rPr>
  </w:style>
  <w:style w:type="character" w:customStyle="1" w:styleId="7">
    <w:name w:val="font21"/>
    <w:basedOn w:val="5"/>
    <w:qFormat/>
    <w:uiPriority w:val="0"/>
    <w:rPr>
      <w:rFonts w:hint="eastAsia" w:ascii="宋体" w:hAnsi="宋体" w:eastAsia="宋体" w:cs="宋体"/>
      <w:color w:val="000000"/>
      <w:sz w:val="18"/>
      <w:szCs w:val="18"/>
      <w:u w:val="none"/>
    </w:rPr>
  </w:style>
  <w:style w:type="character" w:customStyle="1" w:styleId="8">
    <w:name w:val="font31"/>
    <w:basedOn w:val="5"/>
    <w:qFormat/>
    <w:uiPriority w:val="0"/>
    <w:rPr>
      <w:rFonts w:hint="eastAsia" w:ascii="宋体" w:hAnsi="宋体" w:eastAsia="宋体" w:cs="宋体"/>
      <w:color w:val="000000"/>
      <w:sz w:val="20"/>
      <w:szCs w:val="20"/>
      <w:u w:val="none"/>
    </w:rPr>
  </w:style>
  <w:style w:type="character" w:customStyle="1" w:styleId="9">
    <w:name w:val="font01"/>
    <w:basedOn w:val="5"/>
    <w:qFormat/>
    <w:uiPriority w:val="0"/>
    <w:rPr>
      <w:rFonts w:hint="eastAsia" w:ascii="宋体" w:hAnsi="宋体" w:eastAsia="宋体" w:cs="宋体"/>
      <w:b/>
      <w:color w:val="000000"/>
      <w:sz w:val="20"/>
      <w:szCs w:val="20"/>
      <w:u w:val="none"/>
    </w:rPr>
  </w:style>
  <w:style w:type="character" w:customStyle="1" w:styleId="10">
    <w:name w:val="font41"/>
    <w:basedOn w:val="5"/>
    <w:qFormat/>
    <w:uiPriority w:val="0"/>
    <w:rPr>
      <w:rFonts w:hint="default" w:ascii="Times New Roman" w:hAnsi="Times New Roman" w:eastAsia="宋体" w:cs="Times New Roman"/>
      <w:color w:val="000000"/>
      <w:sz w:val="22"/>
      <w:szCs w:val="22"/>
      <w:u w:val="none"/>
    </w:rPr>
  </w:style>
  <w:style w:type="character" w:customStyle="1" w:styleId="11">
    <w:name w:val="font71"/>
    <w:basedOn w:val="5"/>
    <w:qFormat/>
    <w:uiPriority w:val="0"/>
    <w:rPr>
      <w:rFonts w:hint="eastAsia" w:ascii="宋体" w:hAnsi="宋体" w:eastAsia="宋体" w:cs="宋体"/>
      <w:color w:val="000000"/>
      <w:sz w:val="28"/>
      <w:szCs w:val="28"/>
      <w:u w:val="none"/>
    </w:rPr>
  </w:style>
  <w:style w:type="character" w:customStyle="1" w:styleId="12">
    <w:name w:val="font11"/>
    <w:basedOn w:val="5"/>
    <w:qFormat/>
    <w:uiPriority w:val="0"/>
    <w:rPr>
      <w:rFonts w:hint="default" w:ascii="仿宋_GB2312" w:eastAsia="仿宋_GB2312" w:cs="仿宋_GB2312"/>
      <w:color w:val="000000"/>
      <w:sz w:val="30"/>
      <w:szCs w:val="30"/>
      <w:u w:val="none"/>
    </w:rPr>
  </w:style>
  <w:style w:type="paragraph" w:customStyle="1" w:styleId="13">
    <w:name w:val="图表目录1"/>
    <w:basedOn w:val="14"/>
    <w:next w:val="1"/>
    <w:qFormat/>
    <w:uiPriority w:val="0"/>
    <w:pPr>
      <w:ind w:left="200" w:leftChars="200" w:hanging="200" w:hangingChars="200"/>
    </w:pPr>
    <w:rPr>
      <w:rFonts w:ascii="Calibri" w:hAnsi="Calibri" w:eastAsia="宋体" w:cs="Times New Roman"/>
    </w:rPr>
  </w:style>
  <w:style w:type="paragraph" w:customStyle="1" w:styleId="1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梁河财政</cp:lastModifiedBy>
  <cp:lastPrinted>2023-01-10T09:11:00Z</cp:lastPrinted>
  <dcterms:modified xsi:type="dcterms:W3CDTF">2024-05-15T08:49:16Z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