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梁河县财政局关于下达</w:t>
      </w:r>
      <w:r>
        <w:rPr>
          <w:rFonts w:hint="default" w:ascii="方正小标宋_GBK" w:hAnsi="方正小标宋_GBK" w:eastAsia="方正小标宋_GBK" w:cs="方正小标宋_GBK"/>
          <w:sz w:val="44"/>
          <w:szCs w:val="44"/>
          <w:lang w:eastAsia="zh-CN"/>
        </w:rPr>
        <w:t>2024</w:t>
      </w:r>
      <w:r>
        <w:rPr>
          <w:rFonts w:hint="eastAsia" w:ascii="方正小标宋_GBK" w:hAnsi="方正小标宋_GBK" w:eastAsia="方正小标宋_GBK" w:cs="方正小标宋_GBK"/>
          <w:sz w:val="44"/>
          <w:szCs w:val="44"/>
          <w:lang w:eastAsia="zh-CN"/>
        </w:rPr>
        <w:t>年医疗服务与保障能力提升（卫生健康</w:t>
      </w:r>
      <w:r>
        <w:rPr>
          <w:rFonts w:hint="eastAsia" w:ascii="方正小标宋_GBK" w:hAnsi="方正小标宋_GBK" w:eastAsia="方正小标宋_GBK" w:cs="方正小标宋_GBK"/>
          <w:sz w:val="44"/>
          <w:szCs w:val="44"/>
          <w:lang w:val="en-US" w:eastAsia="zh-CN"/>
        </w:rPr>
        <w:t>人才培养培训）</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000000"/>
          <w:sz w:val="31"/>
          <w:szCs w:val="31"/>
        </w:rPr>
      </w:pPr>
      <w:r>
        <w:rPr>
          <w:rFonts w:hint="eastAsia" w:ascii="方正小标宋_GBK" w:hAnsi="方正小标宋_GBK" w:eastAsia="方正小标宋_GBK" w:cs="方正小标宋_GBK"/>
          <w:sz w:val="44"/>
          <w:szCs w:val="44"/>
          <w:lang w:val="en-US" w:eastAsia="zh-CN"/>
        </w:rPr>
        <w:t>中央补助资金的通知</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default"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梁河县人民医院：</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为进一步加强卫生健康人才培养工作，根据《德宏州财政局 德宏州卫生健康委员会</w:t>
      </w:r>
      <w:r>
        <w:rPr>
          <w:rFonts w:hint="default" w:ascii="Times New Roman" w:hAnsi="Times New Roman" w:eastAsia="方正仿宋_GBK" w:cs="Times New Roman"/>
          <w:color w:val="000000"/>
          <w:sz w:val="32"/>
          <w:szCs w:val="32"/>
        </w:rPr>
        <w:t>关于下达2024年医疗服务与保障能力提升（卫生健康</w:t>
      </w:r>
      <w:r>
        <w:rPr>
          <w:rFonts w:hint="default" w:ascii="Times New Roman" w:hAnsi="Times New Roman" w:eastAsia="方正仿宋_GBK" w:cs="Times New Roman"/>
          <w:color w:val="000000"/>
          <w:sz w:val="32"/>
          <w:szCs w:val="32"/>
          <w:lang w:val="en-US" w:eastAsia="zh-CN"/>
        </w:rPr>
        <w:t>人才培养培训）中央补助资金的通知</w:t>
      </w:r>
      <w:r>
        <w:rPr>
          <w:rFonts w:hint="default" w:ascii="Times New Roman" w:hAnsi="Times New Roman" w:eastAsia="方正仿宋_GBK" w:cs="Times New Roman"/>
          <w:sz w:val="32"/>
          <w:szCs w:val="32"/>
          <w:lang w:val="en-US" w:eastAsia="zh-CN"/>
        </w:rPr>
        <w:t>》（德财社〔2024〕39号）精神，现下达你单位</w:t>
      </w:r>
      <w:r>
        <w:rPr>
          <w:rFonts w:hint="default" w:ascii="Times New Roman" w:hAnsi="Times New Roman" w:eastAsia="方正仿宋_GBK" w:cs="Times New Roman"/>
          <w:color w:val="000000"/>
          <w:sz w:val="32"/>
          <w:szCs w:val="32"/>
        </w:rPr>
        <w:t>2024年医疗服务与保障能力提升（卫生健康人才培养）中央财政补助资金（具体金额详见附表），用于支持开展卫生健康人才培养培训工作。现将有关事项通知如下：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一、该款项收入列入2024年政府收支分类科目“1100249医疗卫生共同财政事权转移支付收入”科目，支出列“2109999其他卫生健康支出”科目；</w:t>
      </w:r>
      <w:r>
        <w:rPr>
          <w:rFonts w:hint="default" w:ascii="Times New Roman" w:hAnsi="Times New Roman" w:eastAsia="方正仿宋_GBK" w:cs="Times New Roman"/>
          <w:sz w:val="32"/>
          <w:szCs w:val="32"/>
          <w:lang w:val="en-US" w:eastAsia="zh-CN"/>
        </w:rPr>
        <w:t>政府及部门支出经济分类科目，根据实际情况按照《中华人民共和国预算法》和财政资金相关管理规定列支。</w:t>
      </w:r>
    </w:p>
    <w:p>
      <w:pPr>
        <w:pStyle w:val="6"/>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二、经费采取“预拨+结算”的方式下达，加强资金监督管理和使用，厉行节约，专款专用，不得挤占、挪用项目经费，确保财政资金安全有效，切实提高财政资金使用效益。</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三、该项资金列入直达资金管理，项目名称为医疗服务与保障</w:t>
      </w:r>
      <w:r>
        <w:rPr>
          <w:rFonts w:hint="default" w:ascii="Times New Roman" w:hAnsi="Times New Roman" w:eastAsia="方正仿宋_GBK" w:cs="Times New Roman"/>
          <w:color w:val="000000"/>
          <w:sz w:val="32"/>
          <w:szCs w:val="32"/>
        </w:rPr>
        <w:t>能力提升补助资金，项目代码为10000015Z155080000004，直达资金标识贯穿资金分配、拨付、使用等整个环节，财政部对直达资金实行动态监控。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四、项目实施结束后，州财政局和州卫生健康委将对项目实</w:t>
      </w:r>
      <w:r>
        <w:rPr>
          <w:rFonts w:hint="default" w:ascii="Times New Roman" w:hAnsi="Times New Roman" w:eastAsia="方正仿宋_GBK" w:cs="Times New Roman"/>
          <w:color w:val="000000"/>
          <w:sz w:val="32"/>
          <w:szCs w:val="32"/>
        </w:rPr>
        <w:t>施情况进行考核验收，对违规使用专项资金或在规定时间内未执行完成项目的单位，州财政局和州卫生健康委将责成项目单位退回补助资金或扣减下一年度相关项目补助经费。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577" w:leftChars="294" w:hanging="960" w:hangingChars="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附件：1.2024年医疗服务与保障能力提升（卫生健康人才培养</w:t>
      </w:r>
      <w:r>
        <w:rPr>
          <w:rFonts w:hint="default" w:ascii="Times New Roman" w:hAnsi="Times New Roman" w:eastAsia="方正仿宋_GBK" w:cs="Times New Roman"/>
          <w:color w:val="000000"/>
          <w:sz w:val="32"/>
          <w:szCs w:val="32"/>
        </w:rPr>
        <w:t>培训）中央补助资金下达表</w:t>
      </w:r>
    </w:p>
    <w:p>
      <w:pPr>
        <w:keepNext w:val="0"/>
        <w:keepLines w:val="0"/>
        <w:pageBreakBefore w:val="0"/>
        <w:widowControl/>
        <w:suppressLineNumbers w:val="0"/>
        <w:kinsoku/>
        <w:wordWrap/>
        <w:overflowPunct/>
        <w:topLinePunct w:val="0"/>
        <w:autoSpaceDE/>
        <w:autoSpaceDN/>
        <w:bidi w:val="0"/>
        <w:adjustRightInd/>
        <w:snapToGrid/>
        <w:spacing w:line="600" w:lineRule="exact"/>
        <w:ind w:left="1577" w:leftChars="294" w:hanging="960" w:hangingChars="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      2.2024年医疗服务与保障能力提升（卫生健康人才培养</w:t>
      </w:r>
      <w:r>
        <w:rPr>
          <w:rFonts w:hint="default" w:ascii="Times New Roman" w:hAnsi="Times New Roman" w:eastAsia="方正仿宋_GBK" w:cs="Times New Roman"/>
          <w:color w:val="000000"/>
          <w:sz w:val="32"/>
          <w:szCs w:val="32"/>
        </w:rPr>
        <w:t>培训）中央补助资金绩效目标表</w:t>
      </w:r>
    </w:p>
    <w:p>
      <w:pPr>
        <w:keepNext w:val="0"/>
        <w:keepLines w:val="0"/>
        <w:pageBreakBefore w:val="0"/>
        <w:widowControl w:val="0"/>
        <w:tabs>
          <w:tab w:val="left" w:pos="913"/>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pict>
          <v:rect id="KGD_KG_Seal_29" o:spid="_x0000_s1029"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pict>
          <v:rect id="KGD_KG_Seal_28" o:spid="_x0000_s1030"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59264;mso-width-relative:page;mso-height-relative:page;" fillcolor="#FFFFFF" filled="t" stroked="t" coordsize="21600,21600">
            <v:path/>
            <v:fill on="t" focussize="0,0"/>
            <v:stroke/>
            <v:imagedata o:title=""/>
            <o:lock v:ext="edit" aspectratio="f"/>
          </v:rect>
        </w:pict>
      </w:r>
    </w:p>
    <w:p>
      <w:pPr>
        <w:keepNext w:val="0"/>
        <w:keepLines w:val="0"/>
        <w:pageBreakBefore w:val="0"/>
        <w:widowControl w:val="0"/>
        <w:tabs>
          <w:tab w:val="left" w:pos="913"/>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600" w:lineRule="exact"/>
        <w:ind w:firstLine="5760" w:firstLineChars="18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2024年4月8日</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lang w:val="en-US" w:eastAsia="zh-CN"/>
        </w:rPr>
      </w:pP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pStyle w:val="2"/>
        <w:rPr>
          <w:rFonts w:hint="eastAsia"/>
          <w:lang w:val="en-US" w:eastAsia="zh-CN"/>
        </w:rPr>
      </w:pP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6"/>
        <w:gridCol w:w="130"/>
        <w:gridCol w:w="876"/>
        <w:gridCol w:w="1006"/>
        <w:gridCol w:w="845"/>
        <w:gridCol w:w="845"/>
        <w:gridCol w:w="842"/>
        <w:gridCol w:w="845"/>
        <w:gridCol w:w="842"/>
        <w:gridCol w:w="845"/>
        <w:gridCol w:w="842"/>
        <w:gridCol w:w="845"/>
        <w:gridCol w:w="859"/>
        <w:gridCol w:w="845"/>
        <w:gridCol w:w="842"/>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8"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tc>
        <w:tc>
          <w:tcPr>
            <w:tcW w:w="355" w:type="pct"/>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355"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7"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8"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6"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8"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6"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8"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6"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298"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c>
          <w:tcPr>
            <w:tcW w:w="301"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32"/>
                <w:szCs w:val="3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32"/>
                <w:szCs w:val="32"/>
                <w:u w:val="none"/>
              </w:rPr>
            </w:pPr>
          </w:p>
        </w:tc>
        <w:tc>
          <w:tcPr>
            <w:tcW w:w="297"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32"/>
                <w:szCs w:val="32"/>
                <w:u w:val="none"/>
              </w:rPr>
            </w:pPr>
          </w:p>
        </w:tc>
        <w:tc>
          <w:tcPr>
            <w:tcW w:w="420" w:type="pct"/>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提前下达2024年医疗服务与保障能力提升（卫生健康人才培养培训）中央补助资金分配表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55" w:type="pct"/>
            <w:gridSpan w:val="2"/>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55"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97"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420" w:type="pct"/>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3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单位</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助理全科医生培训</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紧缺人才培训</w:t>
            </w:r>
          </w:p>
        </w:tc>
        <w:tc>
          <w:tcPr>
            <w:tcW w:w="179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县乡村卫生人才能力提升培训</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万名医师支援县医院</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3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全科医生转岗培训</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乡镇卫生院和社区卫生服务中心骨干全科医生培训（1年）</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乡村医生（30天）</w:t>
            </w:r>
          </w:p>
        </w:tc>
        <w:tc>
          <w:tcPr>
            <w:tcW w:w="6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乡镇卫生院和社区卫生服务中心骨干人员（120天）</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3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2023级</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2024级计划</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任务</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任务</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任务</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任务</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任务</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金额</w:t>
            </w:r>
            <w:r>
              <w:rPr>
                <w:rFonts w:hint="eastAsia" w:ascii="方正书宋_GBK" w:hAnsi="方正书宋_GBK" w:eastAsia="方正书宋_GBK" w:cs="方正书宋_GBK"/>
                <w:i w:val="0"/>
                <w:iCs w:val="0"/>
                <w:color w:val="000000"/>
                <w:kern w:val="0"/>
                <w:sz w:val="15"/>
                <w:szCs w:val="15"/>
                <w:u w:val="none"/>
                <w:lang w:val="en-US" w:eastAsia="zh-CN" w:bidi="ar"/>
              </w:rPr>
              <w:br w:type="textWrapping"/>
            </w:r>
            <w:r>
              <w:rPr>
                <w:rFonts w:hint="eastAsia" w:ascii="方正书宋_GBK" w:hAnsi="方正书宋_GBK" w:eastAsia="方正书宋_GBK" w:cs="方正书宋_GBK"/>
                <w:i w:val="0"/>
                <w:iCs w:val="0"/>
                <w:color w:val="000000"/>
                <w:kern w:val="0"/>
                <w:sz w:val="15"/>
                <w:szCs w:val="15"/>
                <w:u w:val="none"/>
                <w:lang w:val="en-US" w:eastAsia="zh-CN" w:bidi="ar"/>
              </w:rPr>
              <w:t>（万元）</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3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梁河县人民医院</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书宋_GBK" w:hAnsi="方正书宋_GBK" w:eastAsia="方正书宋_GBK" w:cs="方正书宋_GBK"/>
                <w:i w:val="0"/>
                <w:iCs w:val="0"/>
                <w:color w:val="000000"/>
                <w:sz w:val="15"/>
                <w:szCs w:val="15"/>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书宋_GBK" w:hAnsi="方正书宋_GBK" w:eastAsia="方正书宋_GBK" w:cs="方正书宋_GBK"/>
                <w:i w:val="0"/>
                <w:iCs w:val="0"/>
                <w:color w:val="000000"/>
                <w:sz w:val="15"/>
                <w:szCs w:val="15"/>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书宋_GBK" w:hAnsi="方正书宋_GBK" w:eastAsia="方正书宋_GBK" w:cs="方正书宋_GBK"/>
                <w:i w:val="0"/>
                <w:iCs w:val="0"/>
                <w:color w:val="000000"/>
                <w:sz w:val="15"/>
                <w:szCs w:val="15"/>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书宋_GBK" w:hAnsi="方正书宋_GBK" w:eastAsia="方正书宋_GBK" w:cs="方正书宋_GBK"/>
                <w:i w:val="0"/>
                <w:iCs w:val="0"/>
                <w:color w:val="000000"/>
                <w:sz w:val="15"/>
                <w:szCs w:val="15"/>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4</w:t>
            </w:r>
          </w:p>
        </w:tc>
        <w:tc>
          <w:tcPr>
            <w:tcW w:w="2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1.296</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1.296</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书宋_GBK" w:hAnsi="方正书宋_GBK" w:eastAsia="方正书宋_GBK" w:cs="方正书宋_GBK"/>
                <w:i w:val="0"/>
                <w:iCs w:val="0"/>
                <w:color w:val="000000"/>
                <w:sz w:val="15"/>
                <w:szCs w:val="15"/>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方正书宋_GBK" w:hAnsi="方正书宋_GBK" w:eastAsia="方正书宋_GBK" w:cs="方正书宋_GBK"/>
                <w:i w:val="0"/>
                <w:iCs w:val="0"/>
                <w:color w:val="000000"/>
                <w:sz w:val="15"/>
                <w:szCs w:val="15"/>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15"/>
                <w:szCs w:val="15"/>
                <w:u w:val="none"/>
              </w:rPr>
            </w:pPr>
            <w:r>
              <w:rPr>
                <w:rFonts w:hint="eastAsia" w:ascii="方正书宋_GBK" w:hAnsi="方正书宋_GBK" w:eastAsia="方正书宋_GBK" w:cs="方正书宋_GBK"/>
                <w:i w:val="0"/>
                <w:iCs w:val="0"/>
                <w:color w:val="000000"/>
                <w:kern w:val="0"/>
                <w:sz w:val="15"/>
                <w:szCs w:val="15"/>
                <w:u w:val="none"/>
                <w:lang w:val="en-US" w:eastAsia="zh-CN" w:bidi="ar"/>
              </w:rPr>
              <w:t>2.592</w:t>
            </w:r>
          </w:p>
        </w:tc>
      </w:tr>
    </w:tbl>
    <w:p>
      <w:pPr>
        <w:keepNext w:val="0"/>
        <w:keepLines w:val="0"/>
        <w:widowControl/>
        <w:suppressLineNumbers w:val="0"/>
        <w:jc w:val="left"/>
        <w:textAlignment w:val="center"/>
        <w:rPr>
          <w:rFonts w:hint="eastAsia" w:ascii="方正黑体_GBK" w:hAnsi="方正黑体_GBK" w:eastAsia="方正黑体_GBK" w:cs="方正黑体_GBK"/>
          <w:i w:val="0"/>
          <w:color w:val="000000"/>
          <w:kern w:val="0"/>
          <w:sz w:val="15"/>
          <w:szCs w:val="15"/>
          <w:u w:val="none"/>
          <w:lang w:val="en-US" w:eastAsia="zh-CN" w:bidi="ar"/>
        </w:rPr>
        <w:sectPr>
          <w:pgSz w:w="16838" w:h="11906" w:orient="landscape"/>
          <w:pgMar w:top="1803" w:right="1440" w:bottom="1803" w:left="1440" w:header="851" w:footer="992" w:gutter="0"/>
          <w:cols w:space="0" w:num="1"/>
          <w:rtlGutter w:val="0"/>
          <w:docGrid w:type="lines" w:linePitch="319" w:charSpace="0"/>
        </w:sectPr>
      </w:pPr>
    </w:p>
    <w:tbl>
      <w:tblPr>
        <w:tblStyle w:val="7"/>
        <w:tblW w:w="58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808"/>
        <w:gridCol w:w="1035"/>
        <w:gridCol w:w="1094"/>
        <w:gridCol w:w="2140"/>
        <w:gridCol w:w="359"/>
        <w:gridCol w:w="230"/>
        <w:gridCol w:w="457"/>
        <w:gridCol w:w="459"/>
        <w:gridCol w:w="457"/>
        <w:gridCol w:w="353"/>
        <w:gridCol w:w="116"/>
        <w:gridCol w:w="457"/>
        <w:gridCol w:w="457"/>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tc>
        <w:tc>
          <w:tcPr>
            <w:tcW w:w="40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5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1793"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1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2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32"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c>
          <w:tcPr>
            <w:tcW w:w="23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1380" w:hRule="atLeast"/>
        </w:trPr>
        <w:tc>
          <w:tcPr>
            <w:tcW w:w="4246"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2024年医疗服务与保障能力提升（卫生健康人才培养培训）中央补助资金绩效目标表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470"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32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医疗服务与保障能力提升（卫生健康人才培养培训）项目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250"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106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云南省财政厅</w:t>
            </w:r>
          </w:p>
        </w:tc>
        <w:tc>
          <w:tcPr>
            <w:tcW w:w="106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115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365"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州、市财政部门</w:t>
            </w:r>
          </w:p>
        </w:tc>
        <w:tc>
          <w:tcPr>
            <w:tcW w:w="1063"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德宏州财政局</w:t>
            </w:r>
          </w:p>
        </w:tc>
        <w:tc>
          <w:tcPr>
            <w:tcW w:w="106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州、市级主管部门</w:t>
            </w:r>
          </w:p>
        </w:tc>
        <w:tc>
          <w:tcPr>
            <w:tcW w:w="115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1100" w:hRule="atLeast"/>
        </w:trPr>
        <w:tc>
          <w:tcPr>
            <w:tcW w:w="9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3286"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彻落实《国务院办公厅关于深化医教协同进一步推进医学教育改革与发展的意见》(国办发(2017)63号)、《国务院办公厅关于改革完善全科医生培养与使用激励机制的意见》(国办发(2018)3号)、《国务院办公厅关于加快医学教育创新发展的指导意见》(国办发(2020)34号)等文件精神，加大卫生健康人才培养培训力度，完成本地区各项卫生健康人才培养培训任务。全科、精神科、儿科等紧缺专业卫生健康人才进一步充实，基层医疗卫生机构医疗水平不断提升，整个卫生健康人才队伍的专业结构、城乡结构和区域分布不断优化，促进人才与卫生健康事业发展更加适应，加快构建适合我国国情的整合型医疗卫生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1100" w:hRule="atLeast"/>
        </w:trPr>
        <w:tc>
          <w:tcPr>
            <w:tcW w:w="9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286"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80"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9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42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0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助理全科医生培训招收完成率</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34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培训招收完成率</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58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乡镇卫生院和社区卫生服务中心骨干人员选派参训学员人数</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全科医生转岗</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37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对口支援时间</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25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帮助县医院数量</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28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每批派驻受援医院医务人员</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0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帮助受援医院开展新技术、新项目</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8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助理全科医生培训结业考核通过率</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4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全科医生转岗培训课件费</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488"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参培助理全科医生业务水平</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53" w:type="pct"/>
          <w:trHeight w:val="38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参培对象的满意度</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753" w:type="pct"/>
          <w:trHeight w:val="432"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参培学员满意度</w:t>
            </w:r>
          </w:p>
        </w:tc>
        <w:tc>
          <w:tcPr>
            <w:tcW w:w="9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pPr>
      <w:r>
        <w:rPr>
          <w:rFonts w:hint="eastAsia" w:ascii="方正仿宋_GBK" w:hAnsi="方正仿宋_GBK" w:eastAsia="方正仿宋_GBK" w:cs="方正仿宋_GBK"/>
          <w:sz w:val="24"/>
          <w:szCs w:val="24"/>
          <w:lang w:val="en-US" w:eastAsia="zh-CN"/>
        </w:rPr>
        <w:t>注：具体绩效目标任务请于上级主管部门联系。</w:t>
      </w: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rPr>
    </w:pPr>
    <w:r>
      <w:rPr>
        <w:rStyle w:val="9"/>
        <w:rFonts w:hint="eastAsia"/>
        <w:color w:val="FFFFFF"/>
      </w:rPr>
      <w:t>——</w:t>
    </w:r>
    <w:r>
      <w:rPr>
        <w:rStyle w:val="9"/>
        <w:rFonts w:hint="eastAsia"/>
        <w:b/>
        <w:sz w:val="28"/>
        <w:szCs w:val="28"/>
      </w:rPr>
      <w:t>—</w:t>
    </w:r>
    <w:r>
      <w:rPr>
        <w:rStyle w:val="9"/>
        <w:rFonts w:hint="eastAsia"/>
        <w:color w:val="FFFFFF"/>
      </w:rPr>
      <w:t>—</w:t>
    </w:r>
    <w:r>
      <w:rPr>
        <w:rFonts w:ascii="宋体" w:hAnsi="宋体"/>
        <w:b/>
        <w:sz w:val="28"/>
        <w:szCs w:val="28"/>
      </w:rPr>
      <w:fldChar w:fldCharType="begin"/>
    </w:r>
    <w:r>
      <w:rPr>
        <w:rStyle w:val="9"/>
        <w:rFonts w:ascii="宋体" w:hAnsi="宋体"/>
        <w:b/>
        <w:sz w:val="28"/>
        <w:szCs w:val="28"/>
      </w:rPr>
      <w:instrText xml:space="preserve">PAGE  </w:instrText>
    </w:r>
    <w:r>
      <w:rPr>
        <w:rFonts w:ascii="宋体" w:hAnsi="宋体"/>
        <w:b/>
        <w:sz w:val="28"/>
        <w:szCs w:val="28"/>
      </w:rPr>
      <w:fldChar w:fldCharType="separate"/>
    </w:r>
    <w:r>
      <w:rPr>
        <w:rStyle w:val="9"/>
        <w:rFonts w:ascii="宋体" w:hAnsi="宋体"/>
        <w:b/>
        <w:sz w:val="28"/>
        <w:szCs w:val="28"/>
      </w:rPr>
      <w:t>2</w:t>
    </w:r>
    <w:r>
      <w:rPr>
        <w:rFonts w:ascii="宋体" w:hAnsi="宋体"/>
        <w:b/>
        <w:sz w:val="28"/>
        <w:szCs w:val="28"/>
      </w:rPr>
      <w:fldChar w:fldCharType="end"/>
    </w:r>
    <w:r>
      <w:rPr>
        <w:rStyle w:val="9"/>
        <w:rFonts w:hint="eastAsia"/>
        <w:color w:val="FFFFFF"/>
      </w:rPr>
      <w:t>—</w:t>
    </w:r>
    <w:r>
      <w:rPr>
        <w:rStyle w:val="9"/>
        <w:rFonts w:hint="eastAsia"/>
        <w:b/>
        <w:sz w:val="28"/>
        <w:szCs w:val="28"/>
      </w:rPr>
      <w:t>—</w:t>
    </w:r>
    <w:r>
      <w:rPr>
        <w:rStyle w:val="9"/>
        <w:rFonts w:hint="eastAsia"/>
        <w:color w:val="FFFFFF"/>
      </w:rPr>
      <w:t>——</w:t>
    </w:r>
  </w:p>
  <w:p>
    <w:pPr>
      <w:pStyle w:val="4"/>
      <w:ind w:right="360" w:firstLine="360"/>
      <w:rPr>
        <w:rStyle w:val="9"/>
        <w:szCs w:val="28"/>
      </w:rPr>
    </w:pPr>
  </w:p>
  <w:p>
    <w:pPr>
      <w:pStyle w:val="4"/>
      <w:ind w:right="360" w:firstLine="360"/>
      <w:rPr>
        <w:rStyle w:val="9"/>
        <w:szCs w:val="28"/>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71" w:y="-466"/>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E2B77"/>
    <w:rsid w:val="051C1440"/>
    <w:rsid w:val="0BF44F9B"/>
    <w:rsid w:val="10167607"/>
    <w:rsid w:val="10BD3309"/>
    <w:rsid w:val="197B2F4B"/>
    <w:rsid w:val="1DD42165"/>
    <w:rsid w:val="235E2B77"/>
    <w:rsid w:val="29493E80"/>
    <w:rsid w:val="2EC52EED"/>
    <w:rsid w:val="2FAD3BB4"/>
    <w:rsid w:val="33395BA8"/>
    <w:rsid w:val="48AE0830"/>
    <w:rsid w:val="4D8A78E0"/>
    <w:rsid w:val="533C56FF"/>
    <w:rsid w:val="5F340EE2"/>
    <w:rsid w:val="657A1595"/>
    <w:rsid w:val="68A76760"/>
    <w:rsid w:val="6A1338A7"/>
    <w:rsid w:val="6EC9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page number"/>
    <w:basedOn w:val="8"/>
    <w:qFormat/>
    <w:uiPriority w:val="0"/>
    <w:rPr>
      <w:rFonts w:ascii="Times New Roman" w:hAnsi="Times New Roman" w:eastAsia="宋体" w:cs="Times New Roman"/>
    </w:rPr>
  </w:style>
  <w:style w:type="character" w:customStyle="1" w:styleId="10">
    <w:name w:val="font41"/>
    <w:basedOn w:val="8"/>
    <w:qFormat/>
    <w:uiPriority w:val="0"/>
    <w:rPr>
      <w:rFonts w:hint="default" w:ascii="Arial" w:hAnsi="Arial" w:eastAsia="宋体" w:cs="Arial"/>
      <w:color w:val="000000"/>
      <w:sz w:val="18"/>
      <w:szCs w:val="18"/>
      <w:u w:val="none"/>
    </w:rPr>
  </w:style>
  <w:style w:type="character" w:customStyle="1" w:styleId="11">
    <w:name w:val="font11"/>
    <w:basedOn w:val="8"/>
    <w:qFormat/>
    <w:uiPriority w:val="0"/>
    <w:rPr>
      <w:rFonts w:hint="eastAsia" w:ascii="宋体" w:hAnsi="宋体" w:eastAsia="宋体" w:cs="宋体"/>
      <w:color w:val="000000"/>
      <w:sz w:val="18"/>
      <w:szCs w:val="18"/>
      <w:u w:val="none"/>
    </w:rPr>
  </w:style>
  <w:style w:type="character" w:customStyle="1" w:styleId="12">
    <w:name w:val="font01"/>
    <w:basedOn w:val="8"/>
    <w:qFormat/>
    <w:uiPriority w:val="0"/>
    <w:rPr>
      <w:rFonts w:hint="eastAsia" w:ascii="仿宋" w:hAnsi="仿宋" w:eastAsia="仿宋" w:cs="仿宋"/>
      <w:b/>
      <w:color w:val="000000"/>
      <w:sz w:val="22"/>
      <w:szCs w:val="22"/>
      <w:u w:val="none"/>
    </w:rPr>
  </w:style>
  <w:style w:type="character" w:customStyle="1" w:styleId="13">
    <w:name w:val="font31"/>
    <w:basedOn w:val="8"/>
    <w:qFormat/>
    <w:uiPriority w:val="0"/>
    <w:rPr>
      <w:rFonts w:hint="eastAsia" w:ascii="仿宋" w:hAnsi="仿宋" w:eastAsia="仿宋" w:cs="仿宋"/>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梁河财政</cp:lastModifiedBy>
  <cp:lastPrinted>2024-04-09T00:30:00Z</cp:lastPrinted>
  <dcterms:modified xsi:type="dcterms:W3CDTF">2024-05-16T08:57:29Z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761E173246E5475AA79D6954EF079148</vt:lpwstr>
  </property>
</Properties>
</file>