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梁河县</w:t>
      </w:r>
      <w:r>
        <w:rPr>
          <w:rFonts w:hint="eastAsia" w:ascii="方正小标宋_GBK" w:hAnsi="方正小标宋_GBK" w:eastAsia="方正小标宋_GBK" w:cs="方正小标宋_GBK"/>
          <w:sz w:val="44"/>
          <w:szCs w:val="44"/>
        </w:rPr>
        <w:t>财</w:t>
      </w:r>
      <w:r>
        <w:rPr>
          <w:rFonts w:hint="eastAsia" w:ascii="方正小标宋_GBK" w:hAnsi="方正小标宋_GBK" w:eastAsia="方正小标宋_GBK" w:cs="方正小标宋_GBK"/>
          <w:sz w:val="44"/>
          <w:szCs w:val="44"/>
          <w:lang w:eastAsia="zh-CN"/>
        </w:rPr>
        <w:t>政局关于下达</w:t>
      </w:r>
      <w:r>
        <w:rPr>
          <w:rFonts w:hint="default" w:ascii="方正小标宋_GBK" w:hAnsi="方正小标宋_GBK" w:eastAsia="方正小标宋_GBK" w:cs="方正小标宋_GBK"/>
          <w:sz w:val="44"/>
          <w:szCs w:val="44"/>
          <w:lang w:eastAsia="zh-CN"/>
        </w:rPr>
        <w:t>2024</w:t>
      </w:r>
      <w:r>
        <w:rPr>
          <w:rFonts w:hint="eastAsia" w:ascii="方正小标宋_GBK" w:hAnsi="方正小标宋_GBK" w:eastAsia="方正小标宋_GBK" w:cs="方正小标宋_GBK"/>
          <w:sz w:val="44"/>
          <w:szCs w:val="44"/>
          <w:lang w:eastAsia="zh-CN"/>
        </w:rPr>
        <w:t>年医疗服务与保障能力提升（公立医院</w:t>
      </w:r>
      <w:r>
        <w:rPr>
          <w:rFonts w:hint="eastAsia" w:ascii="方正小标宋_GBK" w:hAnsi="方正小标宋_GBK" w:eastAsia="方正小标宋_GBK" w:cs="方正小标宋_GBK"/>
          <w:sz w:val="44"/>
          <w:szCs w:val="44"/>
          <w:lang w:val="en-US" w:eastAsia="zh-CN"/>
        </w:rPr>
        <w:t>综合改革）</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jc w:val="center"/>
        <w:textAlignment w:val="auto"/>
        <w:rPr>
          <w:rFonts w:hint="eastAsia" w:ascii="方正仿宋_GBK" w:hAnsi="方正仿宋_GBK" w:eastAsia="方正仿宋_GBK" w:cs="方正仿宋_GBK"/>
          <w:color w:val="000000"/>
          <w:sz w:val="31"/>
          <w:szCs w:val="31"/>
        </w:rPr>
      </w:pPr>
      <w:r>
        <w:rPr>
          <w:rFonts w:hint="eastAsia" w:ascii="方正小标宋_GBK" w:hAnsi="方正小标宋_GBK" w:eastAsia="方正小标宋_GBK" w:cs="方正小标宋_GBK"/>
          <w:sz w:val="44"/>
          <w:szCs w:val="44"/>
          <w:lang w:val="en-US" w:eastAsia="zh-CN"/>
        </w:rPr>
        <w:t>中央财政补助资金的通知</w:t>
      </w:r>
    </w:p>
    <w:p>
      <w:pPr>
        <w:keepNext w:val="0"/>
        <w:keepLines w:val="0"/>
        <w:pageBreakBefore w:val="0"/>
        <w:kinsoku/>
        <w:wordWrap/>
        <w:overflowPunct/>
        <w:topLinePunct w:val="0"/>
        <w:autoSpaceDE/>
        <w:autoSpaceDN/>
        <w:bidi w:val="0"/>
        <w:adjustRightInd/>
        <w:snapToGrid/>
        <w:spacing w:line="600" w:lineRule="exact"/>
        <w:ind w:left="0" w:leftChars="0"/>
        <w:jc w:val="left"/>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梁河县人民医院：</w:t>
      </w:r>
    </w:p>
    <w:p>
      <w:pPr>
        <w:pStyle w:val="6"/>
        <w:keepNext w:val="0"/>
        <w:keepLines w:val="0"/>
        <w:pageBreakBefore w:val="0"/>
        <w:widowControl/>
        <w:suppressLineNumbers w:val="0"/>
        <w:kinsoku/>
        <w:wordWrap/>
        <w:overflowPunct/>
        <w:topLinePunct w:val="0"/>
        <w:autoSpaceDE/>
        <w:autoSpaceDN/>
        <w:bidi w:val="0"/>
        <w:adjustRightInd/>
        <w:snapToGrid/>
        <w:spacing w:line="520" w:lineRule="exact"/>
        <w:ind w:left="0"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德宏州卫生健康委员会</w:t>
      </w:r>
      <w:r>
        <w:rPr>
          <w:rFonts w:hint="default" w:ascii="Times New Roman" w:hAnsi="Times New Roman" w:eastAsia="方正仿宋_GBK" w:cs="Times New Roman"/>
          <w:color w:val="000000"/>
          <w:sz w:val="32"/>
          <w:szCs w:val="32"/>
        </w:rPr>
        <w:t>关于下达2024年医疗服务与保障能力提升（公立医院</w:t>
      </w:r>
      <w:r>
        <w:rPr>
          <w:rFonts w:hint="default" w:ascii="Times New Roman" w:hAnsi="Times New Roman" w:eastAsia="方正仿宋_GBK" w:cs="Times New Roman"/>
          <w:color w:val="000000"/>
          <w:sz w:val="32"/>
          <w:szCs w:val="32"/>
          <w:lang w:val="en-US" w:eastAsia="zh-CN"/>
        </w:rPr>
        <w:t>综合改革）中央财政补助资金的通知</w:t>
      </w:r>
      <w:r>
        <w:rPr>
          <w:rFonts w:hint="default" w:ascii="Times New Roman" w:hAnsi="Times New Roman" w:eastAsia="方正仿宋_GBK" w:cs="Times New Roman"/>
          <w:sz w:val="32"/>
          <w:szCs w:val="32"/>
          <w:lang w:val="en-US" w:eastAsia="zh-CN"/>
        </w:rPr>
        <w:t>》（德财社〔2024〕40号）精神，现下达你单位</w:t>
      </w:r>
      <w:r>
        <w:rPr>
          <w:rFonts w:hint="default" w:ascii="Times New Roman" w:hAnsi="Times New Roman" w:eastAsia="方正仿宋_GBK" w:cs="Times New Roman"/>
          <w:color w:val="000000"/>
          <w:sz w:val="32"/>
          <w:szCs w:val="32"/>
        </w:rPr>
        <w:t>2024年医疗服务与保障能力提升（公立医院</w:t>
      </w:r>
      <w:r>
        <w:rPr>
          <w:rFonts w:hint="default" w:ascii="Times New Roman" w:hAnsi="Times New Roman" w:eastAsia="方正仿宋_GBK" w:cs="Times New Roman"/>
          <w:color w:val="000000"/>
          <w:sz w:val="32"/>
          <w:szCs w:val="32"/>
          <w:lang w:val="en-US" w:eastAsia="zh-CN"/>
        </w:rPr>
        <w:t>综合改革）中央财政补助资金</w:t>
      </w:r>
      <w:r>
        <w:rPr>
          <w:rFonts w:hint="default" w:ascii="Times New Roman" w:hAnsi="Times New Roman" w:eastAsia="方正仿宋_GBK" w:cs="Times New Roman"/>
          <w:sz w:val="32"/>
          <w:szCs w:val="32"/>
          <w:lang w:val="en-US" w:eastAsia="zh-CN"/>
        </w:rPr>
        <w:t>（具体金额详见附件）</w:t>
      </w:r>
      <w:r>
        <w:rPr>
          <w:rFonts w:hint="default" w:ascii="Times New Roman" w:hAnsi="Times New Roman" w:eastAsia="方正仿宋_GBK" w:cs="Times New Roman"/>
          <w:color w:val="000000"/>
          <w:sz w:val="32"/>
          <w:szCs w:val="32"/>
        </w:rPr>
        <w:t>。资金用于医院能力提升、学科建设、设备购置、人才培养、信息化建</w:t>
      </w:r>
      <w:bookmarkStart w:id="0" w:name="_GoBack"/>
      <w:bookmarkEnd w:id="0"/>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7"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XIJc7Hc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Bcglzs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color w:val="000000"/>
          <w:sz w:val="32"/>
          <w:szCs w:val="32"/>
        </w:rPr>
        <w:t>设等符合政府卫生投入方向的项目。现将有关事项通知如下：</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bidi="ar"/>
        </w:rPr>
        <w:t>一、该项转移支付为直达资金，项目名称为医疗服务与保障能</w:t>
      </w:r>
      <w:r>
        <w:rPr>
          <w:rFonts w:hint="default" w:ascii="Times New Roman" w:hAnsi="Times New Roman" w:eastAsia="方正仿宋_GBK" w:cs="Times New Roman"/>
          <w:color w:val="000000"/>
          <w:sz w:val="32"/>
          <w:szCs w:val="32"/>
        </w:rPr>
        <w:t>力提升补助资金，项目代码为100000Z155080000004，各县市该款项收列入2024年政府收支分类科目“1100249医疗卫生共同财政事权转移支付收入”科目，</w:t>
      </w:r>
      <w:r>
        <w:rPr>
          <w:rFonts w:hint="default" w:ascii="Times New Roman" w:hAnsi="Times New Roman" w:eastAsia="方正仿宋_GBK" w:cs="Times New Roman"/>
          <w:sz w:val="32"/>
          <w:szCs w:val="32"/>
          <w:lang w:val="en-US" w:eastAsia="zh-CN"/>
        </w:rPr>
        <w:t>支出列入“2100299其他公立医院支出”科目，政府及部门支出经济分类科目，根据实际情况按照《中华人民共和国预算法》和财政资金相关管理规定列支。</w:t>
      </w:r>
    </w:p>
    <w:p>
      <w:pPr>
        <w:pStyle w:val="6"/>
        <w:keepNext w:val="0"/>
        <w:keepLines w:val="0"/>
        <w:pageBreakBefore w:val="0"/>
        <w:widowControl/>
        <w:suppressLineNumbers w:val="0"/>
        <w:kinsoku/>
        <w:wordWrap/>
        <w:overflowPunct/>
        <w:topLinePunct w:val="0"/>
        <w:autoSpaceDE/>
        <w:autoSpaceDN/>
        <w:bidi w:val="0"/>
        <w:adjustRightInd/>
        <w:snapToGrid/>
        <w:spacing w:line="52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二、请各县市、单位依托直达资金监控系统，加强对直达资金的监督管理，紧密跟踪资金使用情况，提高资金使用效益，并按要求及时报送相关进展情况。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ind w:left="1598" w:leftChars="304" w:hanging="960" w:hanging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color w:val="000000"/>
          <w:kern w:val="0"/>
          <w:sz w:val="32"/>
          <w:szCs w:val="32"/>
          <w:lang w:val="en-US" w:eastAsia="zh-CN" w:bidi="ar"/>
        </w:rPr>
        <w:t>1.2024年医疗服务与保障能力提升（公立医院综合改革）</w:t>
      </w:r>
      <w:r>
        <w:rPr>
          <w:rFonts w:hint="default" w:ascii="Times New Roman" w:hAnsi="Times New Roman" w:eastAsia="方正仿宋_GBK" w:cs="Times New Roman"/>
          <w:color w:val="000000"/>
          <w:sz w:val="32"/>
          <w:szCs w:val="32"/>
        </w:rPr>
        <w:t>中央补助资金下达表</w:t>
      </w:r>
    </w:p>
    <w:p>
      <w:pPr>
        <w:keepNext w:val="0"/>
        <w:keepLines w:val="0"/>
        <w:pageBreakBefore w:val="0"/>
        <w:widowControl/>
        <w:suppressLineNumbers w:val="0"/>
        <w:kinsoku/>
        <w:wordWrap/>
        <w:overflowPunct/>
        <w:topLinePunct w:val="0"/>
        <w:autoSpaceDE/>
        <w:autoSpaceDN/>
        <w:bidi w:val="0"/>
        <w:adjustRightInd/>
        <w:snapToGrid/>
        <w:spacing w:line="520" w:lineRule="exact"/>
        <w:ind w:left="1577" w:leftChars="294" w:hanging="960" w:hanging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      2.2024年医疗服务与保障能力提升（公立医院综合改革）</w:t>
      </w:r>
      <w:r>
        <w:rPr>
          <w:rFonts w:hint="default" w:ascii="Times New Roman" w:hAnsi="Times New Roman" w:eastAsia="方正仿宋_GBK" w:cs="Times New Roman"/>
          <w:color w:val="000000"/>
          <w:sz w:val="32"/>
          <w:szCs w:val="32"/>
        </w:rPr>
        <w:t>中央补助资金绩效目标表</w:t>
      </w:r>
    </w:p>
    <w:p>
      <w:pPr>
        <w:keepNext w:val="0"/>
        <w:keepLines w:val="0"/>
        <w:pageBreakBefore w:val="0"/>
        <w:widowControl w:val="0"/>
        <w:tabs>
          <w:tab w:val="left" w:pos="913"/>
        </w:tabs>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pict>
          <v:rect id="KGD_KG_Seal_29" o:spid="_x0000_s1029" o:spt="1" alt="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" style="position:absolute;left:0pt;margin-left:-80.9pt;margin-top:-94.9pt;height:5pt;width:5pt;visibility:hidden;z-index:251661312;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KG_Seal_28" o:spid="_x0000_s1030" o:spt="1" alt="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" style="position:absolute;left:0pt;margin-left:-80.9pt;margin-top:-94.9pt;height:5pt;width:5pt;visibility:hidden;z-index:251660288;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tabs>
          <w:tab w:val="left" w:pos="913"/>
        </w:tabs>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20" w:lineRule="exact"/>
        <w:ind w:firstLine="5760" w:firstLineChars="18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tabs>
          <w:tab w:val="left" w:pos="913"/>
        </w:tabs>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2024年4月9日</w:t>
      </w:r>
    </w:p>
    <w:p>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32"/>
          <w:szCs w:val="32"/>
          <w:u w:val="none"/>
          <w:lang w:val="en-US" w:eastAsia="zh-CN" w:bidi="ar"/>
        </w:rPr>
        <w:sectPr>
          <w:footerReference r:id="rId3" w:type="default"/>
          <w:footerReference r:id="rId4" w:type="even"/>
          <w:pgSz w:w="11906" w:h="16838"/>
          <w:pgMar w:top="1440" w:right="1800" w:bottom="1440" w:left="1800" w:header="851" w:footer="992" w:gutter="0"/>
          <w:cols w:space="425" w:num="1"/>
          <w:docGrid w:type="lines" w:linePitch="312" w:charSpace="0"/>
        </w:sectPr>
      </w:pPr>
    </w:p>
    <w:tbl>
      <w:tblPr>
        <w:tblStyle w:val="7"/>
        <w:tblW w:w="8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8"/>
        <w:gridCol w:w="2097"/>
        <w:gridCol w:w="3168"/>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02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附件1：</w:t>
            </w:r>
          </w:p>
        </w:tc>
        <w:tc>
          <w:tcPr>
            <w:tcW w:w="2097" w:type="dxa"/>
            <w:tcBorders>
              <w:top w:val="nil"/>
              <w:left w:val="nil"/>
              <w:bottom w:val="nil"/>
              <w:right w:val="nil"/>
            </w:tcBorders>
            <w:shd w:val="clear" w:color="auto" w:fill="auto"/>
            <w:noWrap/>
            <w:vAlign w:val="center"/>
          </w:tcPr>
          <w:p>
            <w:pPr>
              <w:jc w:val="left"/>
              <w:rPr>
                <w:rFonts w:hint="eastAsia" w:ascii="方正黑体_GBK" w:hAnsi="方正黑体_GBK" w:eastAsia="方正黑体_GBK" w:cs="方正黑体_GBK"/>
                <w:i w:val="0"/>
                <w:iCs w:val="0"/>
                <w:color w:val="000000"/>
                <w:sz w:val="32"/>
                <w:szCs w:val="32"/>
                <w:u w:val="none"/>
              </w:rPr>
            </w:pPr>
          </w:p>
        </w:tc>
        <w:tc>
          <w:tcPr>
            <w:tcW w:w="3168" w:type="dxa"/>
            <w:tcBorders>
              <w:top w:val="nil"/>
              <w:left w:val="nil"/>
              <w:bottom w:val="nil"/>
              <w:right w:val="nil"/>
            </w:tcBorders>
            <w:shd w:val="clear" w:color="auto" w:fill="auto"/>
            <w:noWrap/>
            <w:vAlign w:val="center"/>
          </w:tcPr>
          <w:p>
            <w:pPr>
              <w:jc w:val="left"/>
              <w:rPr>
                <w:rFonts w:hint="eastAsia" w:ascii="方正黑体_GBK" w:hAnsi="方正黑体_GBK" w:eastAsia="方正黑体_GBK" w:cs="方正黑体_GBK"/>
                <w:i w:val="0"/>
                <w:iCs w:val="0"/>
                <w:color w:val="000000"/>
                <w:sz w:val="32"/>
                <w:szCs w:val="32"/>
                <w:u w:val="none"/>
              </w:rPr>
            </w:pPr>
          </w:p>
        </w:tc>
        <w:tc>
          <w:tcPr>
            <w:tcW w:w="11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430" w:type="dxa"/>
            <w:gridSpan w:val="4"/>
            <w:tcBorders>
              <w:top w:val="nil"/>
              <w:left w:val="nil"/>
              <w:bottom w:val="nil"/>
              <w:right w:val="nil"/>
            </w:tcBorders>
            <w:shd w:val="clear" w:color="auto" w:fill="auto"/>
            <w:vAlign w:val="bottom"/>
          </w:tcPr>
          <w:p>
            <w:pPr>
              <w:keepNext w:val="0"/>
              <w:keepLines w:val="0"/>
              <w:widowControl/>
              <w:suppressLineNumbers w:val="0"/>
              <w:jc w:val="center"/>
              <w:textAlignment w:val="bottom"/>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下达2024年医疗服务与保障能力提升</w:t>
            </w:r>
            <w:r>
              <w:rPr>
                <w:rFonts w:hint="eastAsia" w:ascii="方正小标宋_GBK" w:hAnsi="方正小标宋_GBK" w:eastAsia="方正小标宋_GBK" w:cs="方正小标宋_GBK"/>
                <w:i w:val="0"/>
                <w:iCs w:val="0"/>
                <w:color w:val="000000"/>
                <w:kern w:val="0"/>
                <w:sz w:val="36"/>
                <w:szCs w:val="36"/>
                <w:u w:val="none"/>
                <w:lang w:val="en-US" w:eastAsia="zh-CN" w:bidi="ar"/>
              </w:rPr>
              <w:br w:type="textWrapping"/>
            </w:r>
            <w:r>
              <w:rPr>
                <w:rFonts w:hint="eastAsia" w:ascii="方正小标宋_GBK" w:hAnsi="方正小标宋_GBK" w:eastAsia="方正小标宋_GBK" w:cs="方正小标宋_GBK"/>
                <w:i w:val="0"/>
                <w:iCs w:val="0"/>
                <w:color w:val="000000"/>
                <w:kern w:val="0"/>
                <w:sz w:val="36"/>
                <w:szCs w:val="36"/>
                <w:u w:val="none"/>
                <w:lang w:val="en-US" w:eastAsia="zh-CN" w:bidi="ar"/>
              </w:rPr>
              <w:t>（公立医院综合改革）中央补助资金分配表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430" w:type="dxa"/>
            <w:gridSpan w:val="4"/>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按人口、区划因素分配</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按公立医院绩效考核、综合改革因素分配</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本次下达（万元）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梁河县人民医院</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bl>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2"/>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rPr>
      </w:pPr>
    </w:p>
    <w:p>
      <w:pPr>
        <w:pStyle w:val="2"/>
        <w:rPr>
          <w:rFonts w:hint="eastAsia"/>
        </w:rPr>
      </w:pPr>
    </w:p>
    <w:p>
      <w:pPr>
        <w:rPr>
          <w:rFonts w:hint="eastAsia"/>
        </w:rPr>
      </w:pPr>
    </w:p>
    <w:tbl>
      <w:tblPr>
        <w:tblStyle w:val="7"/>
        <w:tblW w:w="66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904"/>
        <w:gridCol w:w="1088"/>
        <w:gridCol w:w="1484"/>
        <w:gridCol w:w="1859"/>
        <w:gridCol w:w="475"/>
        <w:gridCol w:w="234"/>
        <w:gridCol w:w="534"/>
        <w:gridCol w:w="534"/>
        <w:gridCol w:w="375"/>
        <w:gridCol w:w="173"/>
        <w:gridCol w:w="534"/>
        <w:gridCol w:w="534"/>
        <w:gridCol w:w="534"/>
        <w:gridCol w:w="534"/>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27"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tc>
        <w:tc>
          <w:tcPr>
            <w:tcW w:w="1680"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41"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960" w:hRule="atLeast"/>
        </w:trPr>
        <w:tc>
          <w:tcPr>
            <w:tcW w:w="3746"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2024年医疗服务与保障能力提升（公立医院综合改革）</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中央补助资金绩效目标表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253" w:type="pct"/>
          <w:trHeight w:val="310" w:hRule="atLeast"/>
        </w:trPr>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28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医疗服务与保障能力提升（公立医院综合改革）中央补助资金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253" w:type="pct"/>
          <w:trHeight w:val="220" w:hRule="atLeast"/>
        </w:trPr>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云南省财政厅</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94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253" w:type="pct"/>
          <w:trHeight w:val="340" w:hRule="atLeast"/>
        </w:trPr>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州、市财政部门</w:t>
            </w: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德宏州财政局</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州、市级主管部门</w:t>
            </w:r>
          </w:p>
        </w:tc>
        <w:tc>
          <w:tcPr>
            <w:tcW w:w="94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德宏州卫生健康委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620" w:hRule="atLeast"/>
        </w:trPr>
        <w:tc>
          <w:tcPr>
            <w:tcW w:w="8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2897"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基本建立具有中国特色的权责清晰、管理科学、治理完善、运行高效、监督有力的现代医院管理制度，建立维护公益性、调动积极性、保障可持续的运行新机制和科学合理的补偿机制。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312" w:hRule="atLeast"/>
        </w:trPr>
        <w:tc>
          <w:tcPr>
            <w:tcW w:w="8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97"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253" w:type="pct"/>
          <w:trHeight w:val="325"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8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234"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253" w:type="pct"/>
          <w:trHeight w:val="63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公立医院医疗服务收入（不含药品、耗材、检查、化验收入）占医疗收入比例</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36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公立医院资产负债率</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62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公立医院基本建设、设备购置长期负债占总资产的比例</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26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三级公立医院出院患者手术占比</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32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三级公立医院出院患者四级手术比例</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253" w:type="pct"/>
          <w:trHeight w:val="49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公立医院平均住院日</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较上年降低或≦9.5天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42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公立医院百元医疗收入的医疗支出（不含药品收入）</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55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基层医疗卫生机构诊疗人次数占医疗卫生机构诊疗总人次数的比例</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253" w:type="pct"/>
          <w:trHeight w:val="47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公立医院每门急诊人次平均收费水平增长比例</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9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公立医院出院者平均医药费用增长比例</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253" w:type="pct"/>
          <w:trHeight w:val="25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三级公立医院门诊人次数与出院人次数比</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28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管理费用占公立医院业务支出的比例</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253" w:type="pct"/>
          <w:trHeight w:val="24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三级公立医院万元收入能耗支出</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54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实现收支平衡的公立医院数占公立医院总数的比例</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30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公立医院职工满意度</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≧78.71分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30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公立医院门诊患者满意度</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1253" w:type="pct"/>
          <w:trHeight w:val="33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公立医院住院患者满意度</w:t>
            </w:r>
          </w:p>
        </w:tc>
        <w:tc>
          <w:tcPr>
            <w:tcW w:w="7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≧88.54分</w:t>
            </w:r>
          </w:p>
        </w:tc>
      </w:tr>
    </w:tbl>
    <w:p>
      <w:pPr>
        <w:pStyle w:val="2"/>
        <w:rPr>
          <w:rFonts w:hint="eastAsia"/>
        </w:rPr>
      </w:pP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rPr>
    </w:pPr>
    <w:r>
      <w:rPr>
        <w:rStyle w:val="9"/>
        <w:rFonts w:hint="eastAsia"/>
        <w:color w:val="FFFFFF"/>
      </w:rPr>
      <w:t>——</w:t>
    </w:r>
    <w:r>
      <w:rPr>
        <w:rStyle w:val="9"/>
        <w:rFonts w:hint="eastAsia"/>
        <w:b/>
        <w:sz w:val="28"/>
        <w:szCs w:val="28"/>
      </w:rPr>
      <w:t>—</w:t>
    </w:r>
    <w:r>
      <w:rPr>
        <w:rStyle w:val="9"/>
        <w:rFonts w:hint="eastAsia"/>
        <w:color w:val="FFFFFF"/>
      </w:rPr>
      <w:t>—</w:t>
    </w:r>
    <w:r>
      <w:rPr>
        <w:rFonts w:ascii="宋体" w:hAnsi="宋体"/>
        <w:b/>
        <w:sz w:val="28"/>
        <w:szCs w:val="28"/>
      </w:rPr>
      <w:fldChar w:fldCharType="begin"/>
    </w:r>
    <w:r>
      <w:rPr>
        <w:rStyle w:val="9"/>
        <w:rFonts w:ascii="宋体" w:hAnsi="宋体"/>
        <w:b/>
        <w:sz w:val="28"/>
        <w:szCs w:val="28"/>
      </w:rPr>
      <w:instrText xml:space="preserve">PAGE  </w:instrText>
    </w:r>
    <w:r>
      <w:rPr>
        <w:rFonts w:ascii="宋体" w:hAnsi="宋体"/>
        <w:b/>
        <w:sz w:val="28"/>
        <w:szCs w:val="28"/>
      </w:rPr>
      <w:fldChar w:fldCharType="separate"/>
    </w:r>
    <w:r>
      <w:rPr>
        <w:rStyle w:val="9"/>
        <w:rFonts w:ascii="宋体" w:hAnsi="宋体"/>
        <w:b/>
        <w:sz w:val="28"/>
        <w:szCs w:val="28"/>
      </w:rPr>
      <w:t>2</w:t>
    </w:r>
    <w:r>
      <w:rPr>
        <w:rFonts w:ascii="宋体" w:hAnsi="宋体"/>
        <w:b/>
        <w:sz w:val="28"/>
        <w:szCs w:val="28"/>
      </w:rPr>
      <w:fldChar w:fldCharType="end"/>
    </w:r>
    <w:r>
      <w:rPr>
        <w:rStyle w:val="9"/>
        <w:rFonts w:hint="eastAsia"/>
        <w:color w:val="FFFFFF"/>
      </w:rPr>
      <w:t>—</w:t>
    </w:r>
    <w:r>
      <w:rPr>
        <w:rStyle w:val="9"/>
        <w:rFonts w:hint="eastAsia"/>
        <w:b/>
        <w:sz w:val="28"/>
        <w:szCs w:val="28"/>
      </w:rPr>
      <w:t>—</w:t>
    </w:r>
    <w:r>
      <w:rPr>
        <w:rStyle w:val="9"/>
        <w:rFonts w:hint="eastAsia"/>
        <w:color w:val="FFFFFF"/>
      </w:rPr>
      <w:t>——</w:t>
    </w:r>
  </w:p>
  <w:p>
    <w:pPr>
      <w:pStyle w:val="4"/>
      <w:ind w:right="360" w:firstLine="360"/>
      <w:rPr>
        <w:rStyle w:val="9"/>
        <w:szCs w:val="28"/>
      </w:rPr>
    </w:pPr>
  </w:p>
  <w:p>
    <w:pPr>
      <w:pStyle w:val="4"/>
      <w:ind w:right="360" w:firstLine="360"/>
      <w:rPr>
        <w:rStyle w:val="9"/>
        <w:szCs w:val="28"/>
      </w:rP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771" w:y="-466"/>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F1449"/>
    <w:rsid w:val="051C1440"/>
    <w:rsid w:val="0BF44F9B"/>
    <w:rsid w:val="10167607"/>
    <w:rsid w:val="10BD3309"/>
    <w:rsid w:val="197B2F4B"/>
    <w:rsid w:val="1DD42165"/>
    <w:rsid w:val="29493E80"/>
    <w:rsid w:val="2EC52EED"/>
    <w:rsid w:val="2FAD3BB4"/>
    <w:rsid w:val="33395BA8"/>
    <w:rsid w:val="48AE0830"/>
    <w:rsid w:val="4D8A78E0"/>
    <w:rsid w:val="533C56FF"/>
    <w:rsid w:val="5F340EE2"/>
    <w:rsid w:val="657A1595"/>
    <w:rsid w:val="68A76760"/>
    <w:rsid w:val="6A1338A7"/>
    <w:rsid w:val="6A8F1449"/>
    <w:rsid w:val="6EC9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page number"/>
    <w:basedOn w:val="8"/>
    <w:qFormat/>
    <w:uiPriority w:val="0"/>
    <w:rPr>
      <w:rFonts w:ascii="Times New Roman" w:hAnsi="Times New Roman" w:eastAsia="宋体" w:cs="Times New Roman"/>
    </w:rPr>
  </w:style>
  <w:style w:type="character" w:customStyle="1" w:styleId="10">
    <w:name w:val="font41"/>
    <w:basedOn w:val="8"/>
    <w:qFormat/>
    <w:uiPriority w:val="0"/>
    <w:rPr>
      <w:rFonts w:hint="default" w:ascii="Arial" w:hAnsi="Arial" w:eastAsia="宋体" w:cs="Arial"/>
      <w:color w:val="000000"/>
      <w:sz w:val="18"/>
      <w:szCs w:val="18"/>
      <w:u w:val="none"/>
    </w:rPr>
  </w:style>
  <w:style w:type="character" w:customStyle="1" w:styleId="11">
    <w:name w:val="font11"/>
    <w:basedOn w:val="8"/>
    <w:qFormat/>
    <w:uiPriority w:val="0"/>
    <w:rPr>
      <w:rFonts w:hint="eastAsia" w:ascii="宋体" w:hAnsi="宋体" w:eastAsia="宋体" w:cs="宋体"/>
      <w:color w:val="000000"/>
      <w:sz w:val="18"/>
      <w:szCs w:val="18"/>
      <w:u w:val="none"/>
    </w:rPr>
  </w:style>
  <w:style w:type="character" w:customStyle="1" w:styleId="12">
    <w:name w:val="font01"/>
    <w:basedOn w:val="8"/>
    <w:qFormat/>
    <w:uiPriority w:val="0"/>
    <w:rPr>
      <w:rFonts w:hint="eastAsia" w:ascii="仿宋" w:hAnsi="仿宋" w:eastAsia="仿宋" w:cs="仿宋"/>
      <w:b/>
      <w:color w:val="000000"/>
      <w:sz w:val="22"/>
      <w:szCs w:val="22"/>
      <w:u w:val="none"/>
    </w:rPr>
  </w:style>
  <w:style w:type="character" w:customStyle="1" w:styleId="13">
    <w:name w:val="font31"/>
    <w:basedOn w:val="8"/>
    <w:uiPriority w:val="0"/>
    <w:rPr>
      <w:rFonts w:hint="eastAsia" w:ascii="仿宋" w:hAnsi="仿宋" w:eastAsia="仿宋" w:cs="仿宋"/>
      <w:b/>
      <w:color w:val="000000"/>
      <w:sz w:val="22"/>
      <w:szCs w:val="22"/>
      <w:u w:val="none"/>
    </w:rPr>
  </w:style>
  <w:style w:type="paragraph" w:customStyle="1" w:styleId="14">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Calibri"/>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梁河财政</cp:lastModifiedBy>
  <cp:lastPrinted>2024-04-09T03:13:00Z</cp:lastPrinted>
  <dcterms:modified xsi:type="dcterms:W3CDTF">2024-05-16T08:58:56Z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61F6B948195D4CF6B9BD1D1B69299605</vt:lpwstr>
  </property>
</Properties>
</file>