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20" w:lineRule="exact"/>
        <w:jc w:val="center"/>
        <w:rPr>
          <w:rFonts w:hint="eastAsia" w:ascii="方正小标宋_GBK" w:hAnsi="方正小标宋_GBK" w:eastAsia="方正小标宋_GBK" w:cs="方正小标宋_GBK"/>
          <w:sz w:val="44"/>
          <w:szCs w:val="44"/>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"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BvjFe32wAAAA8BAAAPAAAAAAAA&#10;AAEAIAAAACIAAABkcnMvZG93bnJldi54bWxQSwECFAAUAAAACACHTuJAVSkXa58FAADoCAAADgAA&#10;AAAAAAABACAAAAAqAQAAZHJzL2Uyb0RvYy54bWxQSwUGAAAAAAYABgBZAQAAOwk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Cs/>
          <w:spacing w:val="0"/>
          <w:sz w:val="44"/>
          <w:szCs w:val="44"/>
          <w:lang w:val="en-US" w:eastAsia="zh-CN"/>
        </w:rPr>
        <w:t>梁河县财政局</w:t>
      </w:r>
      <w:r>
        <w:rPr>
          <w:rFonts w:hint="eastAsia" w:ascii="方正小标宋_GBK" w:hAnsi="方正小标宋_GBK" w:eastAsia="方正小标宋_GBK" w:cs="方正小标宋_GBK"/>
          <w:sz w:val="44"/>
          <w:szCs w:val="44"/>
        </w:rPr>
        <w:t>关于下达2022年省级优抚</w:t>
      </w:r>
    </w:p>
    <w:p>
      <w:pPr>
        <w:adjustRightInd w:val="0"/>
        <w:snapToGrid w:val="0"/>
        <w:spacing w:line="7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对象补助经费(第一批）的通知</w:t>
      </w:r>
    </w:p>
    <w:p>
      <w:pPr>
        <w:jc w:val="both"/>
        <w:rPr>
          <w:rFonts w:hint="default" w:ascii="Times New Roman" w:hAnsi="Times New Roman" w:eastAsia="方正仿宋_GBK" w:cs="Times New Roman"/>
          <w:b/>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根据《德宏州财政局关于下达2022年省级优抚对象补助经费（第一批）的通知》（德财社〔2022〕119号），现下达你单位2022年省级优抚对象补助经费（第一批）（具体金额详见附件）。现将有关事项通知如下：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安排资金主要用于“三属”（烈士、因公牺牲和病故军人家属）、在乡老复员军人、带病回乡退伍军人、在农村的和城镇无工作单位且家庭生活困难的参战退役人员、部分原8023部队及其他参加核试验军队退役人员以及参与铀矿开采军队退役人员等人员抚恤和生活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二、各县市该项指标收入列入2022年政府收支分类科目“1100248社会保障和就业共同财政事权转移支付收入”，支出功能科目详见附件1，政府及部门支出经济分类科目，请根据该项目要求和实际情况按照《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 xml:space="preserve">预算法》和财政资金相关管理规定列支。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三、此次安排的资金为直达资金，各县市财政部门在下达直达资金预算指标时，项目名称应与上级财政部门预算指标发文中的有关项目保持一致，并准确标注直达资金标识；及时在指标管理系统中登录有关指标和直达资金标识，导入直达资金监控系统，确保数据真实、账目清晰、流向明确。对于资金来源既包含中央直达资金又包含地方对应安排资金的项目，在预算指标文件、指标管理系统可按资金明细来源分别列示，在指标系统中分别登录；各部门务必按照直达资金管理要求，在直达资金监控系统内按时进行相关操作，同时切实加快资金支出进度，确保于2022年度内形成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四、请按照《中共中央 国务院关于全面实施预算绩效管理的意见》的要求，切实提高财政资金使用效益，在组织预算执行中对照区域绩效目标做好绩效监控，确保年度绩效目标如期实现。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DR14Lzdg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&#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LYMzj2gAAAA8BAAAPAAAAAAAAAAEAIAAAACIAAABk&#10;cnMvZG93bnJldi54bWxQSwECFAAUAAAACACHTuJA0deC83YCAAA8BQAADgAAAAAAAAABACAAAAAp&#10;AQAAZHJzL2Uyb0RvYy54bWxQSwUGAAAAAAYABgBZAQAAEQ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由各单位自行负责。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附件：1.2022年省级优抚对象补助经费（第一批）分配表</w:t>
      </w:r>
    </w:p>
    <w:p>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bCs/>
          <w:w w:val="90"/>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2.2022年省级优抚对象补助经费（第一批）绩效目标表</w:t>
      </w:r>
      <w:r>
        <w:rPr>
          <w:rFonts w:hint="default" w:ascii="Times New Roman" w:hAnsi="Times New Roman" w:eastAsia="方正仿宋_GBK" w:cs="Times New Roman"/>
          <w:i w:val="0"/>
          <w:color w:val="000000"/>
          <w:kern w:val="0"/>
          <w:sz w:val="32"/>
          <w:szCs w:val="3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26日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sectPr>
          <w:pgSz w:w="11906" w:h="16838"/>
          <w:pgMar w:top="1440" w:right="1803" w:bottom="1440" w:left="1803" w:header="851" w:footer="992" w:gutter="0"/>
          <w:cols w:space="0" w:num="1"/>
          <w:rtlGutter w:val="0"/>
          <w:docGrid w:type="lines" w:linePitch="332" w:charSpace="0"/>
        </w:sect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年</w:t>
      </w:r>
      <w:r>
        <w:rPr>
          <w:rFonts w:hint="eastAsia" w:ascii="黑体" w:hAnsi="黑体" w:eastAsia="黑体" w:cs="黑体"/>
          <w:b w:val="0"/>
          <w:bCs w:val="0"/>
          <w:sz w:val="32"/>
          <w:szCs w:val="32"/>
          <w:lang w:eastAsia="zh-CN"/>
        </w:rPr>
        <w:t>省级</w:t>
      </w:r>
      <w:r>
        <w:rPr>
          <w:rFonts w:hint="eastAsia" w:ascii="黑体" w:hAnsi="黑体" w:eastAsia="黑体" w:cs="黑体"/>
          <w:b w:val="0"/>
          <w:bCs w:val="0"/>
          <w:sz w:val="32"/>
          <w:szCs w:val="32"/>
        </w:rPr>
        <w:t>优抚对象补助经费</w:t>
      </w:r>
      <w:r>
        <w:rPr>
          <w:rFonts w:hint="eastAsia" w:ascii="黑体" w:hAnsi="黑体" w:eastAsia="黑体" w:cs="黑体"/>
          <w:b w:val="0"/>
          <w:bCs w:val="0"/>
          <w:sz w:val="32"/>
          <w:szCs w:val="32"/>
          <w:lang w:eastAsia="zh-CN"/>
        </w:rPr>
        <w:t>（第一批）</w:t>
      </w:r>
      <w:r>
        <w:rPr>
          <w:rFonts w:hint="eastAsia" w:ascii="黑体" w:hAnsi="黑体" w:eastAsia="黑体" w:cs="黑体"/>
          <w:b w:val="0"/>
          <w:bCs w:val="0"/>
          <w:sz w:val="32"/>
          <w:szCs w:val="32"/>
        </w:rPr>
        <w:t>分配表</w:t>
      </w:r>
    </w:p>
    <w:tbl>
      <w:tblPr>
        <w:tblStyle w:val="3"/>
        <w:tblpPr w:leftFromText="180" w:rightFromText="180" w:vertAnchor="text" w:horzAnchor="page" w:tblpX="1217" w:tblpY="571"/>
        <w:tblOverlap w:val="never"/>
        <w:tblW w:w="48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726"/>
        <w:gridCol w:w="1903"/>
        <w:gridCol w:w="1899"/>
        <w:gridCol w:w="2610"/>
        <w:gridCol w:w="2599"/>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Theme="minorEastAsia"/>
                <w:b/>
                <w:bCs/>
                <w:sz w:val="24"/>
                <w:szCs w:val="24"/>
                <w:lang w:eastAsia="zh-CN"/>
              </w:rPr>
            </w:pPr>
            <w:r>
              <w:rPr>
                <w:rFonts w:hint="eastAsia" w:ascii="仿宋_GB2312" w:hAnsi="仿宋_GB2312"/>
                <w:b/>
                <w:bCs/>
                <w:sz w:val="24"/>
                <w:szCs w:val="24"/>
                <w:lang w:val="en-US" w:eastAsia="zh-CN"/>
              </w:rPr>
              <w:t>单位</w:t>
            </w:r>
          </w:p>
        </w:tc>
        <w:tc>
          <w:tcPr>
            <w:tcW w:w="601" w:type="pct"/>
            <w:vMerge w:val="restart"/>
            <w:tcBorders>
              <w:top w:val="single" w:color="auto" w:sz="4" w:space="0"/>
              <w:left w:val="nil"/>
              <w:bottom w:val="single" w:color="auto" w:sz="4" w:space="0"/>
              <w:right w:val="single" w:color="auto" w:sz="4" w:space="0"/>
            </w:tcBorders>
            <w:vAlign w:val="center"/>
          </w:tcPr>
          <w:p>
            <w:pPr>
              <w:jc w:val="center"/>
              <w:rPr>
                <w:rFonts w:ascii="仿宋_GB2312" w:hAnsi="仿宋_GB2312"/>
                <w:b/>
                <w:bCs/>
                <w:sz w:val="24"/>
                <w:szCs w:val="24"/>
              </w:rPr>
            </w:pPr>
            <w:r>
              <w:rPr>
                <w:rFonts w:hint="eastAsia" w:ascii="仿宋_GB2312" w:hAnsi="仿宋_GB2312"/>
                <w:b/>
                <w:bCs/>
                <w:sz w:val="24"/>
                <w:szCs w:val="24"/>
                <w:lang w:eastAsia="zh-CN"/>
              </w:rPr>
              <w:t>金额</w:t>
            </w:r>
            <w:r>
              <w:rPr>
                <w:rFonts w:ascii="仿宋_GB2312" w:hAnsi="仿宋_GB2312"/>
                <w:b/>
                <w:bCs/>
                <w:sz w:val="24"/>
                <w:szCs w:val="24"/>
              </w:rPr>
              <w:t>合计</w:t>
            </w:r>
          </w:p>
        </w:tc>
        <w:tc>
          <w:tcPr>
            <w:tcW w:w="3142" w:type="pct"/>
            <w:gridSpan w:val="4"/>
            <w:tcBorders>
              <w:top w:val="single" w:color="auto" w:sz="4" w:space="0"/>
              <w:left w:val="nil"/>
              <w:bottom w:val="single" w:color="auto" w:sz="4" w:space="0"/>
              <w:right w:val="single" w:color="auto" w:sz="4" w:space="0"/>
            </w:tcBorders>
            <w:vAlign w:val="center"/>
          </w:tcPr>
          <w:p>
            <w:pPr>
              <w:jc w:val="center"/>
              <w:rPr>
                <w:rFonts w:ascii="仿宋_GB2312" w:hAnsi="仿宋_GB2312"/>
                <w:b/>
                <w:bCs/>
                <w:sz w:val="24"/>
                <w:szCs w:val="24"/>
              </w:rPr>
            </w:pPr>
            <w:r>
              <w:rPr>
                <w:rFonts w:hint="eastAsia" w:ascii="仿宋_GB2312" w:hAnsi="仿宋_GB2312"/>
                <w:b/>
                <w:bCs/>
                <w:sz w:val="24"/>
                <w:szCs w:val="24"/>
                <w:lang w:eastAsia="zh-CN"/>
              </w:rPr>
              <w:t>省级</w:t>
            </w:r>
            <w:r>
              <w:rPr>
                <w:rFonts w:ascii="仿宋_GB2312" w:hAnsi="仿宋_GB2312"/>
                <w:b/>
                <w:bCs/>
                <w:sz w:val="24"/>
                <w:szCs w:val="24"/>
              </w:rPr>
              <w:t>补助经费（万元）</w:t>
            </w:r>
          </w:p>
        </w:tc>
        <w:tc>
          <w:tcPr>
            <w:tcW w:w="333" w:type="pct"/>
            <w:vMerge w:val="restart"/>
            <w:tcBorders>
              <w:top w:val="single" w:color="auto" w:sz="4" w:space="0"/>
              <w:left w:val="nil"/>
              <w:right w:val="single" w:color="auto" w:sz="4" w:space="0"/>
            </w:tcBorders>
            <w:vAlign w:val="center"/>
          </w:tcPr>
          <w:p>
            <w:pPr>
              <w:spacing w:line="1000" w:lineRule="exact"/>
              <w:jc w:val="center"/>
              <w:rPr>
                <w:rFonts w:ascii="仿宋_GB2312" w:hAnsi="仿宋_GB2312"/>
                <w:b/>
                <w:bCs/>
                <w:sz w:val="24"/>
                <w:szCs w:val="24"/>
              </w:rPr>
            </w:pPr>
            <w:r>
              <w:rPr>
                <w:rFonts w:ascii="仿宋_GB2312" w:hAnsi="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9" w:hRule="atLeast"/>
        </w:trPr>
        <w:tc>
          <w:tcPr>
            <w:tcW w:w="92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sz w:val="24"/>
                <w:szCs w:val="24"/>
              </w:rPr>
            </w:pPr>
          </w:p>
        </w:tc>
        <w:tc>
          <w:tcPr>
            <w:tcW w:w="601" w:type="pct"/>
            <w:vMerge w:val="continue"/>
            <w:tcBorders>
              <w:top w:val="single" w:color="auto" w:sz="4" w:space="0"/>
              <w:left w:val="nil"/>
              <w:bottom w:val="single" w:color="auto" w:sz="4" w:space="0"/>
              <w:right w:val="single" w:color="auto" w:sz="4" w:space="0"/>
            </w:tcBorders>
            <w:vAlign w:val="center"/>
          </w:tcPr>
          <w:p>
            <w:pPr>
              <w:widowControl/>
              <w:jc w:val="center"/>
              <w:rPr>
                <w:rFonts w:ascii="仿宋_GB2312" w:hAnsi="仿宋_GB2312"/>
                <w:sz w:val="24"/>
                <w:szCs w:val="24"/>
              </w:rPr>
            </w:pPr>
          </w:p>
        </w:tc>
        <w:tc>
          <w:tcPr>
            <w:tcW w:w="663"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b/>
                <w:bCs/>
                <w:sz w:val="24"/>
                <w:szCs w:val="24"/>
                <w:lang w:eastAsia="zh-CN"/>
              </w:rPr>
            </w:pPr>
            <w:r>
              <w:rPr>
                <w:rFonts w:hint="eastAsia" w:ascii="仿宋_GB2312" w:hAnsi="仿宋_GB2312"/>
                <w:b/>
                <w:bCs/>
                <w:sz w:val="24"/>
                <w:szCs w:val="24"/>
                <w:lang w:eastAsia="zh-CN"/>
              </w:rPr>
              <w:t>三属</w:t>
            </w:r>
          </w:p>
          <w:p>
            <w:pPr>
              <w:jc w:val="center"/>
              <w:rPr>
                <w:rFonts w:hint="eastAsia" w:ascii="仿宋_GB2312" w:hAnsi="仿宋_GB2312" w:eastAsia="宋体"/>
                <w:b/>
                <w:bCs/>
                <w:sz w:val="24"/>
                <w:szCs w:val="24"/>
                <w:lang w:eastAsia="zh-CN"/>
              </w:rPr>
            </w:pPr>
            <w:r>
              <w:rPr>
                <w:rFonts w:hint="eastAsia" w:ascii="仿宋_GB2312" w:hAnsi="仿宋_GB2312"/>
                <w:b/>
                <w:bCs/>
                <w:sz w:val="24"/>
                <w:szCs w:val="24"/>
                <w:lang w:eastAsia="zh-CN"/>
              </w:rPr>
              <w:t>（2080802伤残抚恤）</w:t>
            </w:r>
          </w:p>
        </w:tc>
        <w:tc>
          <w:tcPr>
            <w:tcW w:w="662"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b/>
                <w:bCs/>
                <w:sz w:val="24"/>
                <w:szCs w:val="24"/>
                <w:lang w:eastAsia="zh-CN"/>
              </w:rPr>
            </w:pPr>
            <w:r>
              <w:rPr>
                <w:rFonts w:hint="eastAsia" w:ascii="仿宋_GB2312" w:hAnsi="仿宋_GB2312"/>
                <w:b/>
                <w:bCs/>
                <w:sz w:val="24"/>
                <w:szCs w:val="24"/>
                <w:lang w:eastAsia="zh-CN"/>
              </w:rPr>
              <w:t>两参</w:t>
            </w:r>
          </w:p>
          <w:p>
            <w:pPr>
              <w:jc w:val="center"/>
              <w:rPr>
                <w:rFonts w:hint="eastAsia" w:ascii="仿宋_GB2312" w:hAnsi="仿宋_GB2312" w:eastAsia="宋体"/>
                <w:b/>
                <w:bCs/>
                <w:sz w:val="24"/>
                <w:szCs w:val="24"/>
                <w:lang w:eastAsia="zh-CN"/>
              </w:rPr>
            </w:pPr>
            <w:r>
              <w:rPr>
                <w:rFonts w:hint="eastAsia" w:ascii="仿宋_GB2312" w:hAnsi="仿宋_GB2312"/>
                <w:b/>
                <w:bCs/>
                <w:sz w:val="24"/>
                <w:szCs w:val="24"/>
                <w:lang w:eastAsia="zh-CN"/>
              </w:rPr>
              <w:t>（2080899其他优抚支出）</w:t>
            </w:r>
          </w:p>
        </w:tc>
        <w:tc>
          <w:tcPr>
            <w:tcW w:w="910"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b/>
                <w:bCs/>
                <w:sz w:val="24"/>
                <w:szCs w:val="24"/>
                <w:lang w:eastAsia="zh-CN"/>
              </w:rPr>
            </w:pPr>
            <w:r>
              <w:rPr>
                <w:rFonts w:hint="eastAsia" w:ascii="仿宋_GB2312" w:hAnsi="仿宋_GB2312"/>
                <w:b/>
                <w:bCs/>
                <w:sz w:val="24"/>
                <w:szCs w:val="24"/>
                <w:lang w:eastAsia="zh-CN"/>
              </w:rPr>
              <w:t>带病回乡</w:t>
            </w:r>
          </w:p>
          <w:p>
            <w:pPr>
              <w:jc w:val="center"/>
              <w:rPr>
                <w:rFonts w:hint="eastAsia" w:ascii="仿宋_GB2312" w:hAnsi="仿宋_GB2312" w:eastAsia="宋体"/>
                <w:b/>
                <w:bCs/>
                <w:sz w:val="24"/>
                <w:szCs w:val="24"/>
                <w:lang w:eastAsia="zh-CN"/>
              </w:rPr>
            </w:pPr>
            <w:r>
              <w:rPr>
                <w:rFonts w:hint="eastAsia" w:ascii="仿宋_GB2312" w:hAnsi="仿宋_GB2312"/>
                <w:b/>
                <w:bCs/>
                <w:sz w:val="24"/>
                <w:szCs w:val="24"/>
                <w:lang w:eastAsia="zh-CN"/>
              </w:rPr>
              <w:t>（</w:t>
            </w:r>
            <w:r>
              <w:rPr>
                <w:rFonts w:hint="eastAsia" w:ascii="宋体" w:hAnsi="宋体" w:eastAsia="宋体" w:cs="宋体"/>
                <w:b/>
                <w:bCs/>
                <w:i w:val="0"/>
                <w:color w:val="000000"/>
                <w:kern w:val="0"/>
                <w:sz w:val="24"/>
                <w:szCs w:val="24"/>
                <w:u w:val="none"/>
                <w:lang w:val="en-US" w:eastAsia="zh-CN" w:bidi="ar"/>
              </w:rPr>
              <w:t>2080803在乡复员、退伍军人生活补助）</w:t>
            </w:r>
          </w:p>
        </w:tc>
        <w:tc>
          <w:tcPr>
            <w:tcW w:w="906" w:type="pct"/>
            <w:tcBorders>
              <w:top w:val="single" w:color="auto" w:sz="4" w:space="0"/>
              <w:left w:val="nil"/>
              <w:bottom w:val="single" w:color="auto" w:sz="4" w:space="0"/>
              <w:right w:val="single" w:color="auto" w:sz="4" w:space="0"/>
            </w:tcBorders>
            <w:vAlign w:val="center"/>
          </w:tcPr>
          <w:p>
            <w:pPr>
              <w:jc w:val="center"/>
              <w:rPr>
                <w:rFonts w:ascii="仿宋_GB2312" w:hAnsi="仿宋_GB2312"/>
                <w:b/>
                <w:bCs/>
                <w:sz w:val="24"/>
                <w:szCs w:val="24"/>
              </w:rPr>
            </w:pPr>
            <w:r>
              <w:rPr>
                <w:rFonts w:ascii="仿宋_GB2312" w:hAnsi="仿宋_GB2312"/>
                <w:b/>
                <w:bCs/>
                <w:sz w:val="24"/>
                <w:szCs w:val="24"/>
              </w:rPr>
              <w:t>在乡复员退伍军人</w:t>
            </w:r>
            <w:r>
              <w:rPr>
                <w:rFonts w:hint="eastAsia" w:ascii="仿宋_GB2312" w:hAnsi="仿宋_GB2312"/>
                <w:b/>
                <w:bCs/>
                <w:sz w:val="24"/>
                <w:szCs w:val="24"/>
                <w:lang w:val="en-US" w:eastAsia="zh-CN"/>
              </w:rPr>
              <w:t>（</w:t>
            </w:r>
            <w:r>
              <w:rPr>
                <w:rFonts w:hint="eastAsia" w:ascii="仿宋_GB2312" w:hAnsi="仿宋_GB2312"/>
                <w:b/>
                <w:bCs/>
                <w:sz w:val="24"/>
                <w:szCs w:val="24"/>
              </w:rPr>
              <w:t>2080803 在乡复员、退伍军人生活补助</w:t>
            </w:r>
            <w:r>
              <w:rPr>
                <w:rFonts w:hint="eastAsia" w:ascii="仿宋_GB2312" w:hAnsi="仿宋_GB2312"/>
                <w:b/>
                <w:bCs/>
                <w:sz w:val="24"/>
                <w:szCs w:val="24"/>
                <w:lang w:val="en-US" w:eastAsia="zh-CN"/>
              </w:rPr>
              <w:t>）</w:t>
            </w:r>
          </w:p>
        </w:tc>
        <w:tc>
          <w:tcPr>
            <w:tcW w:w="333" w:type="pct"/>
            <w:vMerge w:val="continue"/>
            <w:tcBorders>
              <w:left w:val="nil"/>
              <w:bottom w:val="single" w:color="auto" w:sz="4" w:space="0"/>
              <w:right w:val="single" w:color="auto" w:sz="4" w:space="0"/>
            </w:tcBorders>
            <w:vAlign w:val="center"/>
          </w:tcPr>
          <w:p>
            <w:pPr>
              <w:widowControl/>
              <w:jc w:val="center"/>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sz w:val="24"/>
                <w:szCs w:val="24"/>
              </w:rPr>
            </w:pPr>
            <w:r>
              <w:rPr>
                <w:rFonts w:hint="eastAsia" w:ascii="仿宋_GB2312" w:hAnsi="仿宋_GB2312" w:eastAsia="仿宋_GB2312" w:cs="Times New Roman"/>
                <w:sz w:val="24"/>
                <w:szCs w:val="24"/>
                <w:lang w:eastAsia="zh-CN"/>
              </w:rPr>
              <w:t>梁河县退役军人事务局</w:t>
            </w:r>
          </w:p>
        </w:tc>
        <w:tc>
          <w:tcPr>
            <w:tcW w:w="601" w:type="pct"/>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28.75</w:t>
            </w:r>
          </w:p>
        </w:tc>
        <w:tc>
          <w:tcPr>
            <w:tcW w:w="663" w:type="pct"/>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0.12</w:t>
            </w:r>
          </w:p>
        </w:tc>
        <w:tc>
          <w:tcPr>
            <w:tcW w:w="662" w:type="pct"/>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26.62</w:t>
            </w:r>
          </w:p>
        </w:tc>
        <w:tc>
          <w:tcPr>
            <w:tcW w:w="910" w:type="pct"/>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1.45</w:t>
            </w:r>
          </w:p>
        </w:tc>
        <w:tc>
          <w:tcPr>
            <w:tcW w:w="906" w:type="pct"/>
            <w:tcBorders>
              <w:top w:val="single" w:color="auto" w:sz="4" w:space="0"/>
              <w:left w:val="nil"/>
              <w:bottom w:val="single" w:color="auto" w:sz="4" w:space="0"/>
              <w:right w:val="single" w:color="auto" w:sz="4" w:space="0"/>
            </w:tcBorders>
            <w:vAlign w:val="center"/>
          </w:tcPr>
          <w:p>
            <w:pPr>
              <w:jc w:val="center"/>
              <w:rPr>
                <w:rFonts w:hint="default" w:ascii="仿宋_GB2312" w:hAnsi="仿宋_GB2312"/>
                <w:color w:val="000000"/>
                <w:sz w:val="24"/>
                <w:szCs w:val="24"/>
                <w:lang w:val="en-US"/>
              </w:rPr>
            </w:pPr>
            <w:r>
              <w:rPr>
                <w:rFonts w:hint="eastAsia" w:ascii="仿宋_GB2312" w:hAnsi="仿宋_GB2312"/>
                <w:color w:val="000000"/>
                <w:sz w:val="24"/>
                <w:szCs w:val="24"/>
                <w:lang w:val="en-US" w:eastAsia="zh-CN"/>
              </w:rPr>
              <w:t>0.56</w:t>
            </w:r>
          </w:p>
        </w:tc>
        <w:tc>
          <w:tcPr>
            <w:tcW w:w="333" w:type="pct"/>
            <w:tcBorders>
              <w:left w:val="nil"/>
              <w:right w:val="single" w:color="auto" w:sz="4" w:space="0"/>
            </w:tcBorders>
            <w:vAlign w:val="center"/>
          </w:tcPr>
          <w:p>
            <w:pPr>
              <w:widowControl/>
              <w:jc w:val="center"/>
              <w:rPr>
                <w:rFonts w:ascii="仿宋_GB2312" w:hAnsi="仿宋_GB2312"/>
                <w:sz w:val="24"/>
                <w:szCs w:val="24"/>
              </w:rPr>
            </w:pP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134" w:right="1134" w:bottom="1134" w:left="1134" w:header="851" w:footer="992" w:gutter="0"/>
          <w:cols w:space="0" w:num="1"/>
          <w:rtlGutter w:val="0"/>
          <w:docGrid w:type="lines" w:linePitch="321" w:charSpace="0"/>
        </w:sectPr>
      </w:pPr>
    </w:p>
    <w:p>
      <w:pP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rPr>
        <w:t>2</w:t>
      </w:r>
    </w:p>
    <w:p>
      <w:pPr>
        <w:jc w:val="center"/>
        <w:rPr>
          <w:rFonts w:hint="eastAsia" w:ascii="黑体" w:hAnsi="黑体" w:eastAsia="黑体" w:cs="黑体"/>
          <w:b w:val="0"/>
          <w:bCs w:val="0"/>
          <w:spacing w:val="-20"/>
          <w:sz w:val="32"/>
          <w:szCs w:val="32"/>
        </w:rPr>
      </w:pPr>
      <w:r>
        <w:rPr>
          <w:rFonts w:hint="eastAsia" w:ascii="黑体" w:hAnsi="黑体" w:eastAsia="黑体" w:cs="黑体"/>
          <w:b w:val="0"/>
          <w:bCs w:val="0"/>
          <w:spacing w:val="-20"/>
          <w:sz w:val="32"/>
          <w:szCs w:val="32"/>
          <w:lang w:val="en-US" w:eastAsia="zh-CN"/>
        </w:rPr>
        <w:t>2022年省级</w:t>
      </w:r>
      <w:r>
        <w:rPr>
          <w:rFonts w:hint="eastAsia" w:ascii="黑体" w:hAnsi="黑体" w:eastAsia="黑体" w:cs="黑体"/>
          <w:b w:val="0"/>
          <w:bCs w:val="0"/>
          <w:spacing w:val="-20"/>
          <w:sz w:val="32"/>
          <w:szCs w:val="32"/>
        </w:rPr>
        <w:t>优抚对象补助</w:t>
      </w:r>
      <w:r>
        <w:rPr>
          <w:rFonts w:hint="eastAsia" w:ascii="黑体" w:hAnsi="黑体" w:eastAsia="黑体" w:cs="黑体"/>
          <w:b w:val="0"/>
          <w:bCs w:val="0"/>
          <w:spacing w:val="-20"/>
          <w:sz w:val="32"/>
          <w:szCs w:val="32"/>
          <w:lang w:eastAsia="zh-CN"/>
        </w:rPr>
        <w:t>经费（第一批）</w:t>
      </w:r>
      <w:r>
        <w:rPr>
          <w:rFonts w:hint="eastAsia" w:ascii="黑体" w:hAnsi="黑体" w:eastAsia="黑体" w:cs="黑体"/>
          <w:b w:val="0"/>
          <w:bCs w:val="0"/>
          <w:spacing w:val="-20"/>
          <w:sz w:val="32"/>
          <w:szCs w:val="32"/>
        </w:rPr>
        <w:t>绩效目标表</w:t>
      </w:r>
    </w:p>
    <w:tbl>
      <w:tblPr>
        <w:tblStyle w:val="4"/>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1214"/>
        <w:gridCol w:w="1341"/>
        <w:gridCol w:w="2380"/>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项目名称</w:t>
            </w:r>
          </w:p>
        </w:tc>
        <w:tc>
          <w:tcPr>
            <w:tcW w:w="3857" w:type="pct"/>
            <w:gridSpan w:val="4"/>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spacing w:val="-20"/>
                <w:sz w:val="28"/>
                <w:szCs w:val="28"/>
                <w:lang w:val="en-US" w:eastAsia="zh-CN"/>
              </w:rPr>
              <w:t>2022年省级</w:t>
            </w:r>
            <w:r>
              <w:rPr>
                <w:rFonts w:hint="eastAsia" w:ascii="仿宋_GB2312" w:hAnsi="仿宋_GB2312" w:eastAsia="仿宋_GB2312" w:cs="仿宋_GB2312"/>
                <w:spacing w:val="-20"/>
                <w:sz w:val="28"/>
                <w:szCs w:val="28"/>
              </w:rPr>
              <w:t>优抚对象补助</w:t>
            </w:r>
            <w:r>
              <w:rPr>
                <w:rFonts w:hint="eastAsia" w:ascii="仿宋_GB2312" w:hAnsi="仿宋_GB2312" w:eastAsia="仿宋_GB2312" w:cs="仿宋_GB2312"/>
                <w:spacing w:val="-20"/>
                <w:sz w:val="28"/>
                <w:szCs w:val="28"/>
                <w:lang w:eastAsia="zh-CN"/>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pacing w:val="-20"/>
                <w:kern w:val="2"/>
                <w:sz w:val="28"/>
                <w:szCs w:val="28"/>
              </w:rPr>
            </w:pPr>
            <w:r>
              <w:rPr>
                <w:rFonts w:hint="eastAsia" w:ascii="仿宋_GB2312" w:hAnsi="仿宋_GB2312" w:eastAsia="仿宋_GB2312" w:cs="仿宋_GB2312"/>
                <w:spacing w:val="-20"/>
                <w:kern w:val="0"/>
                <w:sz w:val="28"/>
                <w:szCs w:val="28"/>
                <w:lang w:eastAsia="zh-CN"/>
              </w:rPr>
              <w:t>项目实施</w:t>
            </w:r>
            <w:r>
              <w:rPr>
                <w:rFonts w:hint="eastAsia" w:ascii="仿宋_GB2312" w:hAnsi="仿宋_GB2312" w:eastAsia="仿宋_GB2312" w:cs="仿宋_GB2312"/>
                <w:spacing w:val="-20"/>
                <w:kern w:val="0"/>
                <w:sz w:val="28"/>
                <w:szCs w:val="28"/>
              </w:rPr>
              <w:t>部门</w:t>
            </w:r>
          </w:p>
        </w:tc>
        <w:tc>
          <w:tcPr>
            <w:tcW w:w="3857" w:type="pct"/>
            <w:gridSpan w:val="4"/>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0"/>
                <w:sz w:val="28"/>
                <w:szCs w:val="28"/>
              </w:rPr>
              <w:t>德宏州</w:t>
            </w:r>
            <w:r>
              <w:rPr>
                <w:rFonts w:hint="eastAsia" w:ascii="仿宋_GB2312" w:hAnsi="仿宋_GB2312" w:eastAsia="仿宋_GB2312" w:cs="仿宋_GB2312"/>
                <w:kern w:val="0"/>
                <w:sz w:val="28"/>
                <w:szCs w:val="28"/>
                <w:lang w:eastAsia="zh-CN"/>
              </w:rPr>
              <w:t>退役军人事务</w:t>
            </w:r>
            <w:r>
              <w:rPr>
                <w:rFonts w:hint="eastAsia" w:ascii="仿宋_GB2312" w:hAnsi="仿宋_GB2312" w:eastAsia="仿宋_GB2312" w:cs="仿宋_GB2312"/>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142" w:type="pct"/>
            <w:tcBorders>
              <w:top w:val="nil"/>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0"/>
                <w:sz w:val="28"/>
                <w:szCs w:val="28"/>
                <w:lang w:eastAsia="zh-CN"/>
              </w:rPr>
              <w:t>项目资金（万元）</w:t>
            </w:r>
          </w:p>
        </w:tc>
        <w:tc>
          <w:tcPr>
            <w:tcW w:w="3857" w:type="pct"/>
            <w:gridSpan w:val="4"/>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年度总体目标</w:t>
            </w:r>
          </w:p>
        </w:tc>
        <w:tc>
          <w:tcPr>
            <w:tcW w:w="3857" w:type="pct"/>
            <w:gridSpan w:val="4"/>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0"/>
                <w:sz w:val="28"/>
                <w:szCs w:val="28"/>
                <w:lang w:eastAsia="zh-CN"/>
              </w:rPr>
              <w:t>通过发放优抚对象补助经费，使优抚对象等人员的基本生活得到有效保障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42" w:type="pct"/>
            <w:vMerge w:val="restart"/>
            <w:tcBorders>
              <w:top w:val="nil"/>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p>
          <w:p>
            <w:pPr>
              <w:jc w:val="center"/>
              <w:rPr>
                <w:rFonts w:hint="eastAsia" w:ascii="仿宋_GB2312" w:hAnsi="仿宋_GB2312" w:eastAsia="仿宋_GB2312" w:cs="仿宋_GB2312"/>
                <w:kern w:val="0"/>
                <w:sz w:val="28"/>
                <w:szCs w:val="28"/>
              </w:rPr>
            </w:pPr>
          </w:p>
          <w:p>
            <w:pPr>
              <w:jc w:val="center"/>
              <w:rPr>
                <w:rFonts w:hint="eastAsia" w:ascii="仿宋_GB2312" w:hAnsi="仿宋_GB2312" w:eastAsia="仿宋_GB2312" w:cs="仿宋_GB2312"/>
                <w:kern w:val="0"/>
                <w:sz w:val="28"/>
                <w:szCs w:val="28"/>
              </w:rPr>
            </w:pPr>
          </w:p>
          <w:p>
            <w:pPr>
              <w:jc w:val="center"/>
              <w:rPr>
                <w:rFonts w:hint="eastAsia" w:ascii="仿宋_GB2312" w:hAnsi="仿宋_GB2312" w:eastAsia="仿宋_GB2312" w:cs="仿宋_GB2312"/>
                <w:kern w:val="0"/>
                <w:sz w:val="28"/>
                <w:szCs w:val="28"/>
              </w:rPr>
            </w:pPr>
          </w:p>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绩</w:t>
            </w:r>
          </w:p>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w:t>
            </w:r>
          </w:p>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w:t>
            </w:r>
          </w:p>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标</w:t>
            </w:r>
          </w:p>
        </w:tc>
        <w:tc>
          <w:tcPr>
            <w:tcW w:w="617"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一级指标</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二级指标</w:t>
            </w:r>
          </w:p>
        </w:tc>
        <w:tc>
          <w:tcPr>
            <w:tcW w:w="1210"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级指标</w:t>
            </w:r>
          </w:p>
        </w:tc>
        <w:tc>
          <w:tcPr>
            <w:tcW w:w="1346"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142"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2"/>
                <w:sz w:val="28"/>
                <w:szCs w:val="28"/>
              </w:rPr>
            </w:pPr>
          </w:p>
        </w:tc>
        <w:tc>
          <w:tcPr>
            <w:tcW w:w="617" w:type="pct"/>
            <w:vMerge w:val="restar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p>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产出指标</w:t>
            </w:r>
          </w:p>
        </w:tc>
        <w:tc>
          <w:tcPr>
            <w:tcW w:w="682" w:type="pc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数量指标</w:t>
            </w:r>
          </w:p>
        </w:tc>
        <w:tc>
          <w:tcPr>
            <w:tcW w:w="1210" w:type="pct"/>
            <w:tcBorders>
              <w:top w:val="single" w:color="auto" w:sz="4" w:space="0"/>
              <w:left w:val="nil"/>
              <w:right w:val="single" w:color="auto" w:sz="4" w:space="0"/>
            </w:tcBorders>
            <w:vAlign w:val="center"/>
          </w:tcPr>
          <w:p>
            <w:pPr>
              <w:jc w:val="center"/>
              <w:rPr>
                <w:rFonts w:hint="eastAsia" w:ascii="仿宋_GB2312" w:hAnsi="仿宋_GB2312" w:eastAsia="仿宋_GB2312" w:cs="仿宋_GB2312"/>
                <w:spacing w:val="-20"/>
                <w:kern w:val="2"/>
                <w:sz w:val="28"/>
                <w:szCs w:val="28"/>
              </w:rPr>
            </w:pPr>
            <w:r>
              <w:rPr>
                <w:rFonts w:hint="eastAsia" w:ascii="仿宋_GB2312" w:hAnsi="仿宋_GB2312" w:eastAsia="仿宋_GB2312" w:cs="仿宋_GB2312"/>
                <w:spacing w:val="-20"/>
                <w:kern w:val="0"/>
                <w:sz w:val="28"/>
                <w:szCs w:val="28"/>
              </w:rPr>
              <w:t>指标1、</w:t>
            </w:r>
            <w:r>
              <w:rPr>
                <w:rFonts w:hint="eastAsia" w:ascii="仿宋_GB2312" w:hAnsi="仿宋_GB2312" w:eastAsia="仿宋_GB2312" w:cs="仿宋_GB2312"/>
                <w:spacing w:val="-20"/>
                <w:kern w:val="0"/>
                <w:sz w:val="28"/>
                <w:szCs w:val="28"/>
                <w:lang w:eastAsia="zh-CN"/>
              </w:rPr>
              <w:t>优抚对象补助经费发放</w:t>
            </w:r>
            <w:r>
              <w:rPr>
                <w:rFonts w:hint="eastAsia" w:ascii="仿宋_GB2312" w:hAnsi="仿宋_GB2312" w:eastAsia="仿宋_GB2312" w:cs="仿宋_GB2312"/>
                <w:spacing w:val="-20"/>
                <w:kern w:val="0"/>
                <w:sz w:val="28"/>
                <w:szCs w:val="28"/>
              </w:rPr>
              <w:t>人数</w:t>
            </w:r>
          </w:p>
        </w:tc>
        <w:tc>
          <w:tcPr>
            <w:tcW w:w="1346" w:type="pct"/>
            <w:tcBorders>
              <w:top w:val="single" w:color="auto" w:sz="4" w:space="0"/>
              <w:left w:val="nil"/>
              <w:bottom w:val="single" w:color="auto" w:sz="4" w:space="0"/>
              <w:right w:val="single" w:color="auto" w:sz="4" w:space="0"/>
            </w:tcBorders>
            <w:vAlign w:val="center"/>
          </w:tcPr>
          <w:p>
            <w:pPr>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三属、在乡老复员军人</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带病回乡退伍军人</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参战退役人员</w:t>
            </w:r>
            <w:r>
              <w:rPr>
                <w:rFonts w:hint="eastAsia" w:ascii="仿宋_GB2312" w:hAnsi="仿宋_GB2312" w:eastAsia="仿宋_GB2312" w:cs="仿宋_GB2312"/>
                <w:kern w:val="0"/>
                <w:sz w:val="28"/>
                <w:szCs w:val="28"/>
                <w:lang w:val="en-US" w:eastAsia="zh-CN"/>
              </w:rPr>
              <w:t>2249</w:t>
            </w:r>
            <w:r>
              <w:rPr>
                <w:rFonts w:hint="eastAsia" w:ascii="仿宋_GB2312" w:hAnsi="仿宋_GB2312" w:eastAsia="仿宋_GB2312" w:cs="仿宋_GB2312"/>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2"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2"/>
                <w:sz w:val="28"/>
                <w:szCs w:val="28"/>
              </w:rPr>
            </w:pPr>
          </w:p>
        </w:tc>
        <w:tc>
          <w:tcPr>
            <w:tcW w:w="617" w:type="pct"/>
            <w:vMerge w:val="continue"/>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2"/>
                <w:sz w:val="28"/>
                <w:szCs w:val="28"/>
              </w:rPr>
            </w:pPr>
          </w:p>
        </w:tc>
        <w:tc>
          <w:tcPr>
            <w:tcW w:w="682" w:type="pc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质量指标</w:t>
            </w:r>
          </w:p>
        </w:tc>
        <w:tc>
          <w:tcPr>
            <w:tcW w:w="1210" w:type="pct"/>
            <w:tcBorders>
              <w:top w:val="single" w:color="auto" w:sz="4" w:space="0"/>
              <w:left w:val="nil"/>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lang w:eastAsia="zh-CN"/>
              </w:rPr>
              <w:t>获补对象准确率</w:t>
            </w:r>
          </w:p>
        </w:tc>
        <w:tc>
          <w:tcPr>
            <w:tcW w:w="1346"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142"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2"/>
                <w:sz w:val="28"/>
                <w:szCs w:val="28"/>
              </w:rPr>
            </w:pPr>
          </w:p>
        </w:tc>
        <w:tc>
          <w:tcPr>
            <w:tcW w:w="617" w:type="pct"/>
            <w:vMerge w:val="continue"/>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2"/>
                <w:sz w:val="28"/>
                <w:szCs w:val="28"/>
              </w:rPr>
            </w:pP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时效指标</w:t>
            </w:r>
          </w:p>
        </w:tc>
        <w:tc>
          <w:tcPr>
            <w:tcW w:w="1210"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lang w:eastAsia="zh-CN"/>
              </w:rPr>
              <w:t>全部补助资金拨付到位时间</w:t>
            </w:r>
          </w:p>
        </w:tc>
        <w:tc>
          <w:tcPr>
            <w:tcW w:w="1346"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0"/>
                <w:sz w:val="28"/>
                <w:szCs w:val="28"/>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42"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2"/>
                <w:sz w:val="28"/>
                <w:szCs w:val="28"/>
              </w:rPr>
            </w:pPr>
          </w:p>
        </w:tc>
        <w:tc>
          <w:tcPr>
            <w:tcW w:w="617" w:type="pc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效益指标</w:t>
            </w:r>
          </w:p>
        </w:tc>
        <w:tc>
          <w:tcPr>
            <w:tcW w:w="682" w:type="pc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社会效益指标</w:t>
            </w:r>
          </w:p>
        </w:tc>
        <w:tc>
          <w:tcPr>
            <w:tcW w:w="1210" w:type="pct"/>
            <w:tcBorders>
              <w:top w:val="single" w:color="auto" w:sz="4" w:space="0"/>
              <w:left w:val="nil"/>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目标1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优抚对象</w:t>
            </w:r>
            <w:r>
              <w:rPr>
                <w:rFonts w:hint="eastAsia" w:ascii="仿宋_GB2312" w:hAnsi="仿宋_GB2312" w:eastAsia="仿宋_GB2312" w:cs="仿宋_GB2312"/>
                <w:kern w:val="0"/>
                <w:sz w:val="28"/>
                <w:szCs w:val="28"/>
                <w:lang w:eastAsia="zh-CN"/>
              </w:rPr>
              <w:t>因资金发放问题上访率</w:t>
            </w:r>
          </w:p>
        </w:tc>
        <w:tc>
          <w:tcPr>
            <w:tcW w:w="1346"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42"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2"/>
                <w:sz w:val="28"/>
                <w:szCs w:val="28"/>
              </w:rPr>
            </w:pPr>
          </w:p>
        </w:tc>
        <w:tc>
          <w:tcPr>
            <w:tcW w:w="617"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满意度指标</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服务对象满意度指标</w:t>
            </w:r>
          </w:p>
        </w:tc>
        <w:tc>
          <w:tcPr>
            <w:tcW w:w="1210"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指标1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优抚对象满意度</w:t>
            </w:r>
          </w:p>
        </w:tc>
        <w:tc>
          <w:tcPr>
            <w:tcW w:w="1346"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85</w:t>
            </w:r>
            <w:r>
              <w:rPr>
                <w:rFonts w:hint="eastAsia" w:ascii="仿宋_GB2312" w:hAnsi="仿宋_GB2312" w:eastAsia="仿宋_GB2312" w:cs="仿宋_GB2312"/>
                <w:kern w:val="0"/>
                <w:sz w:val="28"/>
                <w:szCs w:val="28"/>
              </w:rPr>
              <w:t>%</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F15F9D4-757D-49B1-A1B2-BDC14E0ACBD5}"/>
    <w:docVar w:name="DocumentName" w:val="梁财社〔2022〕132号关于下达2022年省级优抚对象补助经费(第一批）的通知（直达资金）"/>
  </w:docVars>
  <w:rsids>
    <w:rsidRoot w:val="00000000"/>
    <w:rsid w:val="00830B3A"/>
    <w:rsid w:val="06007873"/>
    <w:rsid w:val="0786416F"/>
    <w:rsid w:val="09745825"/>
    <w:rsid w:val="09E911F1"/>
    <w:rsid w:val="0AE5706E"/>
    <w:rsid w:val="0B0A6A71"/>
    <w:rsid w:val="0C83624D"/>
    <w:rsid w:val="0D3F0EEB"/>
    <w:rsid w:val="0DBC559A"/>
    <w:rsid w:val="0E2142A1"/>
    <w:rsid w:val="0FCB1CE9"/>
    <w:rsid w:val="102F7315"/>
    <w:rsid w:val="1091445F"/>
    <w:rsid w:val="10E45564"/>
    <w:rsid w:val="11FC7480"/>
    <w:rsid w:val="127D263B"/>
    <w:rsid w:val="12B67DF9"/>
    <w:rsid w:val="13341197"/>
    <w:rsid w:val="138419EE"/>
    <w:rsid w:val="13A6267C"/>
    <w:rsid w:val="148005FB"/>
    <w:rsid w:val="150F5AD2"/>
    <w:rsid w:val="157818E8"/>
    <w:rsid w:val="18763BA5"/>
    <w:rsid w:val="19B16135"/>
    <w:rsid w:val="19CF3670"/>
    <w:rsid w:val="1A1E05BA"/>
    <w:rsid w:val="1A7D6D85"/>
    <w:rsid w:val="1B9D1623"/>
    <w:rsid w:val="1C172982"/>
    <w:rsid w:val="1D815751"/>
    <w:rsid w:val="1DD646B6"/>
    <w:rsid w:val="1DEA7DC2"/>
    <w:rsid w:val="1EA0242D"/>
    <w:rsid w:val="1EF15C06"/>
    <w:rsid w:val="1FC666FD"/>
    <w:rsid w:val="202424BD"/>
    <w:rsid w:val="2108113C"/>
    <w:rsid w:val="217B5B48"/>
    <w:rsid w:val="227A5B2F"/>
    <w:rsid w:val="22A83ADD"/>
    <w:rsid w:val="2307485F"/>
    <w:rsid w:val="23494274"/>
    <w:rsid w:val="235829B4"/>
    <w:rsid w:val="246F5D80"/>
    <w:rsid w:val="24D83DCA"/>
    <w:rsid w:val="25766390"/>
    <w:rsid w:val="267A18CC"/>
    <w:rsid w:val="273208E7"/>
    <w:rsid w:val="27327F13"/>
    <w:rsid w:val="279D33AE"/>
    <w:rsid w:val="27AC3A14"/>
    <w:rsid w:val="283B2521"/>
    <w:rsid w:val="28AC1ED8"/>
    <w:rsid w:val="2B4D5322"/>
    <w:rsid w:val="2C213B0E"/>
    <w:rsid w:val="2C622667"/>
    <w:rsid w:val="2C8A36E0"/>
    <w:rsid w:val="2DC027C2"/>
    <w:rsid w:val="2F10570F"/>
    <w:rsid w:val="2F2819F8"/>
    <w:rsid w:val="315D7DA4"/>
    <w:rsid w:val="317967B1"/>
    <w:rsid w:val="32026C74"/>
    <w:rsid w:val="32572CB0"/>
    <w:rsid w:val="32CB2F7B"/>
    <w:rsid w:val="34E51D3A"/>
    <w:rsid w:val="357A2BD6"/>
    <w:rsid w:val="37660868"/>
    <w:rsid w:val="3782629D"/>
    <w:rsid w:val="380657E0"/>
    <w:rsid w:val="38694C91"/>
    <w:rsid w:val="3A1145AF"/>
    <w:rsid w:val="3D1E75A7"/>
    <w:rsid w:val="3D6544F0"/>
    <w:rsid w:val="3F6049B7"/>
    <w:rsid w:val="40203954"/>
    <w:rsid w:val="4038606A"/>
    <w:rsid w:val="40C50F64"/>
    <w:rsid w:val="42253A94"/>
    <w:rsid w:val="422B0AC7"/>
    <w:rsid w:val="430D3FD2"/>
    <w:rsid w:val="43FA3136"/>
    <w:rsid w:val="44216393"/>
    <w:rsid w:val="4461430E"/>
    <w:rsid w:val="44D7423A"/>
    <w:rsid w:val="45FF5F18"/>
    <w:rsid w:val="46AF3BC9"/>
    <w:rsid w:val="47CC6BDA"/>
    <w:rsid w:val="47E257F5"/>
    <w:rsid w:val="47FE7947"/>
    <w:rsid w:val="49BF0020"/>
    <w:rsid w:val="4A14515D"/>
    <w:rsid w:val="4AFA6EC1"/>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4FE12AD"/>
    <w:rsid w:val="55BE3C17"/>
    <w:rsid w:val="5620087B"/>
    <w:rsid w:val="56455A59"/>
    <w:rsid w:val="58940722"/>
    <w:rsid w:val="590B7542"/>
    <w:rsid w:val="5A333888"/>
    <w:rsid w:val="5B2F6498"/>
    <w:rsid w:val="5C706CFC"/>
    <w:rsid w:val="5D625B32"/>
    <w:rsid w:val="5ED66A25"/>
    <w:rsid w:val="61353447"/>
    <w:rsid w:val="621D4E67"/>
    <w:rsid w:val="62790E71"/>
    <w:rsid w:val="62FB3F34"/>
    <w:rsid w:val="65F64448"/>
    <w:rsid w:val="6633285F"/>
    <w:rsid w:val="6A855C4B"/>
    <w:rsid w:val="6BDF40EE"/>
    <w:rsid w:val="6D2A0593"/>
    <w:rsid w:val="6DDC342C"/>
    <w:rsid w:val="6E0C4A49"/>
    <w:rsid w:val="6E175BAB"/>
    <w:rsid w:val="719515F5"/>
    <w:rsid w:val="719F2C97"/>
    <w:rsid w:val="73066F61"/>
    <w:rsid w:val="73262C99"/>
    <w:rsid w:val="73663EDE"/>
    <w:rsid w:val="736F2C8B"/>
    <w:rsid w:val="73C2712E"/>
    <w:rsid w:val="75277D66"/>
    <w:rsid w:val="76460B34"/>
    <w:rsid w:val="76514837"/>
    <w:rsid w:val="76B8261D"/>
    <w:rsid w:val="78117866"/>
    <w:rsid w:val="78451356"/>
    <w:rsid w:val="78A94A62"/>
    <w:rsid w:val="78BE5C94"/>
    <w:rsid w:val="7BA30EF9"/>
    <w:rsid w:val="7BD621F0"/>
    <w:rsid w:val="7C6061A4"/>
    <w:rsid w:val="7DB83FEE"/>
    <w:rsid w:val="7DBE3C71"/>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b/>
      <w:color w:val="000000"/>
      <w:sz w:val="20"/>
      <w:szCs w:val="20"/>
      <w:u w:val="none"/>
    </w:rPr>
  </w:style>
  <w:style w:type="character" w:customStyle="1" w:styleId="10">
    <w:name w:val="font41"/>
    <w:basedOn w:val="5"/>
    <w:qFormat/>
    <w:uiPriority w:val="0"/>
    <w:rPr>
      <w:rFonts w:hint="default" w:ascii="Times New Roman" w:hAnsi="Times New Roman" w:eastAsia="宋体" w:cs="Times New Roman"/>
      <w:color w:val="000000"/>
      <w:sz w:val="22"/>
      <w:szCs w:val="22"/>
      <w:u w:val="none"/>
    </w:rPr>
  </w:style>
  <w:style w:type="character" w:customStyle="1" w:styleId="11">
    <w:name w:val="font7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仿宋_GB2312" w:eastAsia="仿宋_GB2312" w:cs="仿宋_GB2312"/>
      <w:color w:val="000000"/>
      <w:sz w:val="30"/>
      <w:szCs w:val="30"/>
      <w:u w:val="none"/>
    </w:rPr>
  </w:style>
  <w:style w:type="paragraph" w:customStyle="1" w:styleId="13">
    <w:name w:val="图表目录1"/>
    <w:basedOn w:val="14"/>
    <w:next w:val="1"/>
    <w:qFormat/>
    <w:uiPriority w:val="0"/>
    <w:pPr>
      <w:ind w:left="200" w:leftChars="200" w:hanging="200" w:hangingChars="200"/>
    </w:pPr>
    <w:rPr>
      <w:rFonts w:ascii="Calibri" w:hAnsi="Calibri" w:eastAsia="宋体" w:cs="Times New Roma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2022-07-27T02:57:00Z</cp:lastPrinted>
  <dcterms:modified xsi:type="dcterms:W3CDTF">2024-05-16T07:12:05Z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