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小标宋_GBK" w:cs="Times New Roman"/>
          <w:w w:val="100"/>
          <w:sz w:val="44"/>
          <w:szCs w:val="44"/>
          <w:lang w:eastAsia="zh-CN"/>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1" name="KGD_Gobal1" descr="lskY7P30+39SSS2ze3CC/Ddpqq8wTuTJz6ZSX33svG5F7EQBWPbPFyGhdlymTOsF3tHxOpkRN4o4cPwc7beNBn8FkSnjLqTIRHRGFJ8jG43aO+JKPBo2xcPQccsKk/mcdXxNO+gc5eZ23N2BKgF+on4YyjX9MtgwIuIwqJOSz+FucDRQ3DppTU8zv4tHEZivaJ0KZm30FGoa6a5hpUG1y0r/jB7ySur+eVV45bxfK+aL2uce+ltucxkHCFGzuGMJyChWPE7euXp2bYeVIU29uGhyJX01/tBtNT5CetYDERHJbT+4o9IlyK4ax35MgUXQx+2fmh7p1aMCUmGRRfeZjL9ormqqYjs53LsRT2T07Q6FpHd5KCGn/kT0VLJtT2q/NDSJJI88Ghg3D9NEomatbOSiKuTjmN5SSm1aH8tiT8g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SRza1oVjxEb+Z9ck+79o4hNE5IPBCa8c3crVf2Z1e+H1G+fIfiNtRpACIY1FX/EkUT0iMAbBr9GQu8k4iwKLMRcclDcV/PpNtNoGJtPK9LGxwp6BjrHL9VKPU9vRK0vbGJZcafVpMJszG07Et6O6RieZStz/k7KKrEt81klKuxggf/W4NHL3TLOp+cVUNuTxx8grOmFeVwCal1reOEHFcDnb4MgCLNstj/UPPIdSiH0o1BNIpBDfp0mvTJMcls1x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"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G+MV7fbAAAADwEAAA8AAAAAAAAAAQAgAAAAIgAAAGRycy9kb3ducmV2LnhtbFBLAQIUABQAAAAI&#10;AIdO4kAmVSlAswUAAAAJAAAOAAAAAAAAAAEAIAAAACoBAABkcnMvZTJvRG9jLnhtbFBLBQYAAAAA&#10;BgAGAFkBAABPCQ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Cs/>
          <w:spacing w:val="0"/>
          <w:sz w:val="44"/>
          <w:szCs w:val="44"/>
          <w:lang w:val="en-US" w:eastAsia="zh-CN"/>
        </w:rPr>
        <w:t>梁河县财政局</w:t>
      </w:r>
      <w:r>
        <w:rPr>
          <w:rFonts w:hint="default" w:ascii="Times New Roman" w:hAnsi="Times New Roman" w:eastAsia="方正小标宋_GBK" w:cs="Times New Roman"/>
          <w:w w:val="100"/>
          <w:sz w:val="44"/>
          <w:szCs w:val="44"/>
          <w:lang w:eastAsia="zh-CN"/>
        </w:rPr>
        <w:t>关于下达2022年省级优抚</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小标宋_GBK" w:cs="Times New Roman"/>
          <w:w w:val="100"/>
          <w:sz w:val="44"/>
          <w:szCs w:val="44"/>
          <w:lang w:eastAsia="zh-CN"/>
        </w:rPr>
      </w:pPr>
      <w:r>
        <w:rPr>
          <w:rFonts w:hint="default" w:ascii="Times New Roman" w:hAnsi="Times New Roman" w:eastAsia="方正小标宋_GBK" w:cs="Times New Roman"/>
          <w:w w:val="100"/>
          <w:sz w:val="44"/>
          <w:szCs w:val="44"/>
          <w:lang w:eastAsia="zh-CN"/>
        </w:rPr>
        <w:t>对象医疗保障经费和“老女兵”医疗</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outlineLvl w:val="9"/>
        <w:rPr>
          <w:rFonts w:hint="default" w:ascii="Times New Roman" w:hAnsi="Times New Roman" w:eastAsia="方正小标宋_GBK" w:cs="Times New Roman"/>
          <w:w w:val="100"/>
          <w:sz w:val="44"/>
          <w:szCs w:val="44"/>
          <w:lang w:val="en-US" w:eastAsia="zh-CN"/>
        </w:rPr>
      </w:pPr>
      <w:r>
        <w:rPr>
          <w:rFonts w:hint="default" w:ascii="Times New Roman" w:hAnsi="Times New Roman" w:eastAsia="方正小标宋_GBK" w:cs="Times New Roman"/>
          <w:w w:val="100"/>
          <w:sz w:val="44"/>
          <w:szCs w:val="44"/>
          <w:lang w:eastAsia="zh-CN"/>
        </w:rPr>
        <w:t>专项补助经费的通知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0" w:firstLineChars="0"/>
        <w:jc w:val="left"/>
        <w:textAlignment w:val="auto"/>
        <w:rPr>
          <w:rFonts w:hint="eastAsia"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梁河县退役军人事务局：</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 德宏州退役军人事务局关于下达2022年省级优抚对象医疗保障经费和“老女兵”医疗专项补助经费的通知》（德财社〔2022〕97号），现下达你单位2022年省级优抚对象医疗保障经费和“老女兵”医疗专项补助经费0.44万元，(具体金额详见附件)，现将有关事项通知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此次下达的经费一是用于一至六级残疾军人参加城镇职工基本医疗保险和建立补充医疗保障；二是用于七至十级残疾军人、在乡老复员军人、“三属”、带病回乡退伍军人和参战退役人员医疗补助资金；三是用于“老女兵”医疗专项</w:t>
      </w: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DabWIEdw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2DM49oAAAAPAQAADwAAAAAAAAABACAAAAAiAAAA&#10;ZHJzL2Rvd25yZXYueG1sUEsBAhQAFAAAAAgAh07iQNptYgR3AgAAPAUAAA4AAAAAAAAAAQAgAAAA&#10;KQ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补助经费。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二、此款收入列入“1100249医疗卫生共同财政事权转移支付收入”科目，支出列入“2101401优抚对象医疗补助”科目，政府及部门支出经济分类科目，请根据该项目要求和实际情况按照《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 xml:space="preserve">预算法》和财政资金相关管理规定列支。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三、此次安排资金为直达资金，请切实加快资金支出进度，确保于2022年度内形成支出。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国务院关于全面实施预算绩效管理的意见》要求，切实提高财政资金使用效益，在组织预算执行中对照区域绩效目标做好绩效监控，确保年度绩效目标如期实现。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1598" w:leftChars="304" w:hanging="960" w:hangingChars="3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附件：1.2022年省级优抚对象医疗保障经费和“老女兵”医疗专项补助经费分配表</w:t>
      </w:r>
    </w:p>
    <w:p>
      <w:pPr>
        <w:keepNext w:val="0"/>
        <w:keepLines w:val="0"/>
        <w:pageBreakBefore w:val="0"/>
        <w:widowControl w:val="0"/>
        <w:kinsoku/>
        <w:wordWrap/>
        <w:overflowPunct/>
        <w:topLinePunct w:val="0"/>
        <w:autoSpaceDE w:val="0"/>
        <w:autoSpaceDN w:val="0"/>
        <w:bidi w:val="0"/>
        <w:adjustRightInd w:val="0"/>
        <w:snapToGrid w:val="0"/>
        <w:spacing w:line="520" w:lineRule="exact"/>
        <w:ind w:left="1596" w:leftChars="76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2.2022年省级优抚对象医疗保障经费和“老女兵”医疗专项补助经费绩效目标表</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20" w:lineRule="exact"/>
        <w:ind w:firstLine="6080" w:firstLineChars="1900"/>
        <w:jc w:val="both"/>
        <w:textAlignment w:val="auto"/>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梁河县财政</w:t>
      </w:r>
      <w:r>
        <w:rPr>
          <w:rFonts w:hint="eastAsia" w:ascii="Times New Roman" w:hAnsi="Times New Roman" w:eastAsia="方正仿宋_GBK" w:cs="方正仿宋_GBK"/>
          <w:sz w:val="32"/>
          <w:szCs w:val="32"/>
        </w:rPr>
        <w:t>局</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rPr>
          <w:rFonts w:hint="eastAsia" w:eastAsia="方正仿宋_GBK" w:cs="方正仿宋_GBK"/>
          <w:sz w:val="32"/>
          <w:szCs w:val="32"/>
          <w:lang w:val="en-US" w:eastAsia="zh-CN"/>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6</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20日</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right"/>
        <w:textAlignment w:val="auto"/>
        <w:rPr>
          <w:rFonts w:hint="default" w:eastAsia="方正仿宋_GBK" w:cs="方正仿宋_GBK"/>
          <w:sz w:val="32"/>
          <w:szCs w:val="32"/>
          <w:lang w:val="en-US" w:eastAsia="zh-CN"/>
        </w:rPr>
        <w:sectPr>
          <w:pgSz w:w="11906" w:h="16838"/>
          <w:pgMar w:top="1440" w:right="1803" w:bottom="1440" w:left="1803" w:header="851" w:footer="992" w:gutter="0"/>
          <w:cols w:space="0" w:num="1"/>
          <w:rtlGutter w:val="0"/>
          <w:docGrid w:type="lines" w:linePitch="332" w:charSpace="0"/>
        </w:sectPr>
      </w:pPr>
    </w:p>
    <w:p>
      <w:pPr>
        <w:rPr>
          <w:rFonts w:hint="eastAsia" w:ascii="黑体" w:hAnsi="黑体" w:eastAsia="黑体" w:cs="黑体"/>
          <w:b w:val="0"/>
          <w:bCs/>
          <w:sz w:val="32"/>
          <w:szCs w:val="32"/>
        </w:rPr>
      </w:pPr>
      <w:r>
        <w:rPr>
          <w:rFonts w:hint="eastAsia" w:ascii="黑体" w:hAnsi="黑体" w:eastAsia="黑体" w:cs="黑体"/>
          <w:b w:val="0"/>
          <w:bCs/>
          <w:sz w:val="32"/>
          <w:szCs w:val="32"/>
        </w:rPr>
        <w:t>附件1</w:t>
      </w:r>
    </w:p>
    <w:p>
      <w:pPr>
        <w:jc w:val="center"/>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spacing w:val="-34"/>
          <w:sz w:val="32"/>
          <w:szCs w:val="32"/>
          <w:lang w:val="en-US" w:eastAsia="zh-CN"/>
        </w:rPr>
        <w:t>2</w:t>
      </w:r>
      <w:r>
        <w:rPr>
          <w:rFonts w:hint="default" w:ascii="Times New Roman" w:hAnsi="Times New Roman" w:eastAsia="方正小标宋_GBK" w:cs="Times New Roman"/>
          <w:b w:val="0"/>
          <w:bCs/>
          <w:sz w:val="32"/>
          <w:szCs w:val="32"/>
          <w:lang w:val="en-US" w:eastAsia="zh-CN"/>
        </w:rPr>
        <w:t>022</w:t>
      </w:r>
      <w:r>
        <w:rPr>
          <w:rFonts w:hint="default" w:ascii="Times New Roman" w:hAnsi="Times New Roman" w:eastAsia="方正小标宋_GBK" w:cs="Times New Roman"/>
          <w:b w:val="0"/>
          <w:bCs/>
          <w:sz w:val="32"/>
          <w:szCs w:val="32"/>
        </w:rPr>
        <w:t>年</w:t>
      </w:r>
      <w:r>
        <w:rPr>
          <w:rFonts w:hint="default" w:ascii="Times New Roman" w:hAnsi="Times New Roman" w:eastAsia="方正小标宋_GBK" w:cs="Times New Roman"/>
          <w:b w:val="0"/>
          <w:bCs/>
          <w:sz w:val="32"/>
          <w:szCs w:val="32"/>
          <w:lang w:eastAsia="zh-CN"/>
        </w:rPr>
        <w:t>省级</w:t>
      </w:r>
      <w:r>
        <w:rPr>
          <w:rFonts w:hint="default" w:ascii="Times New Roman" w:hAnsi="Times New Roman" w:eastAsia="方正小标宋_GBK" w:cs="Times New Roman"/>
          <w:b w:val="0"/>
          <w:bCs/>
          <w:sz w:val="32"/>
          <w:szCs w:val="32"/>
        </w:rPr>
        <w:t>优抚对象医疗保障经费分配表</w:t>
      </w:r>
    </w:p>
    <w:p>
      <w:pPr>
        <w:jc w:val="right"/>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 单位:万元</w:t>
      </w:r>
    </w:p>
    <w:tbl>
      <w:tblPr>
        <w:tblStyle w:val="3"/>
        <w:tblpPr w:leftFromText="180" w:rightFromText="180" w:vertAnchor="text" w:horzAnchor="margin" w:tblpXSpec="center" w:tblpY="161"/>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045"/>
        <w:gridCol w:w="1972"/>
        <w:gridCol w:w="1217"/>
        <w:gridCol w:w="1868"/>
        <w:gridCol w:w="1235"/>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8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单位</w:t>
            </w:r>
          </w:p>
        </w:tc>
        <w:tc>
          <w:tcPr>
            <w:tcW w:w="301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1-6级残疾军人</w:t>
            </w:r>
          </w:p>
        </w:tc>
        <w:tc>
          <w:tcPr>
            <w:tcW w:w="308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其他优抚对象</w:t>
            </w:r>
          </w:p>
        </w:tc>
        <w:tc>
          <w:tcPr>
            <w:tcW w:w="123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金额</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合计</w:t>
            </w:r>
          </w:p>
        </w:tc>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sz w:val="32"/>
                <w:szCs w:val="32"/>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人数</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金额（万元）</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人数</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金额（万元）</w:t>
            </w:r>
          </w:p>
        </w:tc>
        <w:tc>
          <w:tcPr>
            <w:tcW w:w="12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sz w:val="32"/>
                <w:szCs w:val="32"/>
              </w:rPr>
            </w:pPr>
          </w:p>
        </w:tc>
        <w:tc>
          <w:tcPr>
            <w:tcW w:w="6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梁河县退役</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军人事务局</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8</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i w:val="0"/>
                <w:color w:val="000000"/>
                <w:kern w:val="0"/>
                <w:sz w:val="32"/>
                <w:szCs w:val="32"/>
                <w:u w:val="none"/>
                <w:lang w:val="en-US" w:eastAsia="zh-CN" w:bidi="ar"/>
              </w:rPr>
              <w:t>0.03</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363</w:t>
            </w:r>
          </w:p>
        </w:tc>
        <w:tc>
          <w:tcPr>
            <w:tcW w:w="1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i w:val="0"/>
                <w:color w:val="000000"/>
                <w:kern w:val="0"/>
                <w:sz w:val="32"/>
                <w:szCs w:val="32"/>
                <w:u w:val="none"/>
                <w:lang w:val="en-US" w:eastAsia="zh-CN" w:bidi="ar"/>
              </w:rPr>
              <w:t>0.41</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i w:val="0"/>
                <w:color w:val="000000"/>
                <w:kern w:val="0"/>
                <w:sz w:val="32"/>
                <w:szCs w:val="32"/>
                <w:u w:val="none"/>
                <w:lang w:val="en-US" w:eastAsia="zh-CN" w:bidi="ar"/>
              </w:rPr>
              <w:t>0.44</w:t>
            </w:r>
          </w:p>
        </w:tc>
        <w:tc>
          <w:tcPr>
            <w:tcW w:w="67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sz w:val="32"/>
                <w:szCs w:val="32"/>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rPr>
          <w:rFonts w:hint="eastAsia" w:ascii="黑体" w:hAnsi="黑体" w:eastAsia="黑体" w:cs="黑体"/>
          <w:b w:val="0"/>
          <w:bCs/>
          <w:sz w:val="32"/>
          <w:szCs w:val="32"/>
        </w:rPr>
      </w:pPr>
      <w:r>
        <w:rPr>
          <w:rFonts w:hint="eastAsia" w:ascii="黑体" w:hAnsi="黑体" w:eastAsia="黑体" w:cs="黑体"/>
          <w:b w:val="0"/>
          <w:bCs/>
          <w:sz w:val="32"/>
          <w:szCs w:val="32"/>
        </w:rPr>
        <w:t>附件2</w:t>
      </w:r>
    </w:p>
    <w:p>
      <w:pPr>
        <w:jc w:val="center"/>
        <w:rPr>
          <w:rFonts w:hint="default" w:ascii="Times New Roman" w:hAnsi="Times New Roman" w:eastAsia="方正小标宋_GBK" w:cs="Times New Roman"/>
          <w:b w:val="0"/>
          <w:bCs/>
          <w:spacing w:val="-20"/>
          <w:sz w:val="32"/>
          <w:szCs w:val="32"/>
        </w:rPr>
      </w:pPr>
      <w:r>
        <w:rPr>
          <w:rFonts w:hint="default" w:ascii="Times New Roman" w:hAnsi="Times New Roman" w:eastAsia="方正小标宋_GBK" w:cs="Times New Roman"/>
          <w:b w:val="0"/>
          <w:bCs/>
          <w:spacing w:val="-20"/>
          <w:sz w:val="32"/>
          <w:szCs w:val="32"/>
          <w:lang w:val="en-US" w:eastAsia="zh-CN"/>
        </w:rPr>
        <w:t>2022年省级</w:t>
      </w:r>
      <w:r>
        <w:rPr>
          <w:rFonts w:hint="default" w:ascii="Times New Roman" w:hAnsi="Times New Roman" w:eastAsia="方正小标宋_GBK" w:cs="Times New Roman"/>
          <w:b w:val="0"/>
          <w:bCs/>
          <w:spacing w:val="-20"/>
          <w:sz w:val="32"/>
          <w:szCs w:val="32"/>
        </w:rPr>
        <w:t>优抚对象医疗保障经费绩效目标表</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682"/>
        <w:gridCol w:w="1684"/>
        <w:gridCol w:w="2988"/>
        <w:gridCol w:w="2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 w:val="28"/>
                <w:szCs w:val="28"/>
              </w:rPr>
            </w:pPr>
            <w:r>
              <w:rPr>
                <w:rFonts w:hint="eastAsia" w:ascii="黑体" w:hAnsi="黑体" w:eastAsia="黑体"/>
                <w:sz w:val="28"/>
                <w:szCs w:val="28"/>
              </w:rPr>
              <w:t>项目名称</w:t>
            </w:r>
          </w:p>
        </w:tc>
        <w:tc>
          <w:tcPr>
            <w:tcW w:w="3987" w:type="pct"/>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 w:val="28"/>
                <w:szCs w:val="28"/>
              </w:rPr>
            </w:pPr>
            <w:r>
              <w:rPr>
                <w:rFonts w:hint="eastAsia" w:ascii="黑体" w:hAnsi="黑体" w:eastAsia="黑体"/>
                <w:sz w:val="28"/>
                <w:szCs w:val="28"/>
                <w:lang w:val="en-US" w:eastAsia="zh-CN"/>
              </w:rPr>
              <w:t>省级</w:t>
            </w:r>
            <w:r>
              <w:rPr>
                <w:rFonts w:hint="eastAsia" w:ascii="黑体" w:hAnsi="黑体" w:eastAsia="黑体"/>
                <w:sz w:val="28"/>
                <w:szCs w:val="28"/>
              </w:rPr>
              <w:t>优抚对象</w:t>
            </w:r>
            <w:r>
              <w:rPr>
                <w:rFonts w:hint="eastAsia" w:ascii="黑体" w:hAnsi="黑体" w:eastAsia="黑体"/>
                <w:sz w:val="28"/>
                <w:szCs w:val="28"/>
                <w:lang w:eastAsia="zh-CN"/>
              </w:rPr>
              <w:t>医疗保障</w:t>
            </w:r>
            <w:r>
              <w:rPr>
                <w:rFonts w:hint="eastAsia" w:ascii="黑体" w:hAnsi="黑体" w:eastAsia="黑体"/>
                <w:sz w:val="28"/>
                <w:szCs w:val="28"/>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012"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pacing w:val="-20"/>
                <w:sz w:val="28"/>
                <w:szCs w:val="28"/>
              </w:rPr>
            </w:pPr>
            <w:r>
              <w:rPr>
                <w:rFonts w:hint="eastAsia" w:ascii="黑体" w:hAnsi="黑体" w:eastAsia="黑体"/>
                <w:spacing w:val="-20"/>
                <w:sz w:val="24"/>
                <w:szCs w:val="24"/>
                <w:lang w:eastAsia="zh-CN"/>
              </w:rPr>
              <w:t>项目实施</w:t>
            </w:r>
            <w:r>
              <w:rPr>
                <w:rFonts w:hint="eastAsia" w:ascii="黑体" w:hAnsi="黑体" w:eastAsia="黑体"/>
                <w:spacing w:val="-20"/>
                <w:sz w:val="24"/>
                <w:szCs w:val="24"/>
              </w:rPr>
              <w:t>部门</w:t>
            </w:r>
          </w:p>
        </w:tc>
        <w:tc>
          <w:tcPr>
            <w:tcW w:w="3987" w:type="pct"/>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 w:val="24"/>
                <w:szCs w:val="24"/>
              </w:rPr>
            </w:pPr>
            <w:r>
              <w:rPr>
                <w:rFonts w:hint="eastAsia" w:ascii="黑体" w:hAnsi="黑体" w:eastAsia="黑体"/>
                <w:sz w:val="24"/>
                <w:szCs w:val="24"/>
              </w:rPr>
              <w:t>德宏州</w:t>
            </w:r>
            <w:r>
              <w:rPr>
                <w:rFonts w:hint="eastAsia" w:ascii="黑体" w:hAnsi="黑体" w:eastAsia="黑体"/>
                <w:sz w:val="24"/>
                <w:szCs w:val="24"/>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12" w:type="pct"/>
            <w:tcBorders>
              <w:top w:val="single" w:color="auto" w:sz="4" w:space="0"/>
              <w:left w:val="single" w:color="auto" w:sz="4" w:space="0"/>
              <w:right w:val="single" w:color="auto" w:sz="4" w:space="0"/>
            </w:tcBorders>
            <w:noWrap w:val="0"/>
            <w:vAlign w:val="top"/>
          </w:tcPr>
          <w:p>
            <w:pPr>
              <w:jc w:val="center"/>
              <w:rPr>
                <w:rFonts w:hint="eastAsia" w:ascii="黑体" w:hAnsi="黑体" w:eastAsia="黑体"/>
                <w:sz w:val="28"/>
                <w:szCs w:val="28"/>
                <w:lang w:eastAsia="zh-CN"/>
              </w:rPr>
            </w:pPr>
            <w:r>
              <w:rPr>
                <w:rFonts w:hint="eastAsia" w:ascii="黑体" w:hAnsi="黑体" w:eastAsia="黑体"/>
                <w:sz w:val="24"/>
                <w:szCs w:val="24"/>
                <w:lang w:eastAsia="zh-CN"/>
              </w:rPr>
              <w:t>项目</w:t>
            </w:r>
            <w:r>
              <w:rPr>
                <w:rFonts w:hint="eastAsia" w:ascii="黑体" w:hAnsi="黑体" w:eastAsia="黑体"/>
                <w:sz w:val="24"/>
                <w:szCs w:val="24"/>
              </w:rPr>
              <w:t>资金</w:t>
            </w:r>
            <w:r>
              <w:rPr>
                <w:rFonts w:hint="eastAsia" w:ascii="黑体" w:hAnsi="黑体" w:eastAsia="黑体"/>
                <w:sz w:val="24"/>
                <w:szCs w:val="24"/>
                <w:lang w:eastAsia="zh-CN"/>
              </w:rPr>
              <w:t>（万元）</w:t>
            </w:r>
          </w:p>
        </w:tc>
        <w:tc>
          <w:tcPr>
            <w:tcW w:w="3987" w:type="pct"/>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黑体" w:hAnsi="黑体" w:eastAsia="黑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012" w:type="pct"/>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sz w:val="24"/>
                <w:szCs w:val="24"/>
              </w:rPr>
            </w:pPr>
          </w:p>
          <w:p>
            <w:pPr>
              <w:rPr>
                <w:rFonts w:ascii="黑体" w:hAnsi="黑体" w:eastAsia="黑体"/>
                <w:sz w:val="24"/>
                <w:szCs w:val="24"/>
              </w:rPr>
            </w:pPr>
            <w:r>
              <w:rPr>
                <w:rFonts w:hint="eastAsia" w:ascii="黑体" w:hAnsi="黑体" w:eastAsia="黑体"/>
                <w:sz w:val="24"/>
                <w:szCs w:val="24"/>
              </w:rPr>
              <w:t>年度总体目标</w:t>
            </w:r>
          </w:p>
        </w:tc>
        <w:tc>
          <w:tcPr>
            <w:tcW w:w="3987" w:type="pct"/>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ind w:left="0" w:hanging="840" w:hangingChars="350"/>
              <w:jc w:val="left"/>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lang w:eastAsia="zh-CN"/>
              </w:rPr>
              <w:t>通过核拨省级优抚对象医疗保障经费，对优抚对象参保缴费、住院和门诊费进行补助，有效帮助解决优抚对象医疗难问题。</w:t>
            </w:r>
          </w:p>
          <w:p>
            <w:pPr>
              <w:jc w:val="left"/>
              <w:rPr>
                <w:rFonts w:ascii="黑体" w:hAnsi="黑体" w:eastAsia="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012" w:type="pct"/>
            <w:vMerge w:val="restart"/>
            <w:tcBorders>
              <w:top w:val="single" w:color="auto" w:sz="4" w:space="0"/>
              <w:left w:val="single" w:color="auto" w:sz="4" w:space="0"/>
              <w:right w:val="single" w:color="auto" w:sz="4" w:space="0"/>
            </w:tcBorders>
            <w:noWrap w:val="0"/>
            <w:vAlign w:val="top"/>
          </w:tcPr>
          <w:p>
            <w:pPr>
              <w:jc w:val="both"/>
              <w:rPr>
                <w:rFonts w:hint="eastAsia" w:ascii="黑体" w:hAnsi="黑体" w:eastAsia="黑体"/>
                <w:sz w:val="28"/>
                <w:szCs w:val="28"/>
              </w:rPr>
            </w:pPr>
          </w:p>
          <w:p>
            <w:pPr>
              <w:jc w:val="center"/>
              <w:rPr>
                <w:rFonts w:hint="eastAsia" w:ascii="黑体" w:hAnsi="黑体" w:eastAsia="黑体"/>
                <w:sz w:val="28"/>
                <w:szCs w:val="28"/>
              </w:rPr>
            </w:pPr>
            <w:r>
              <w:rPr>
                <w:rFonts w:hint="eastAsia" w:ascii="黑体" w:hAnsi="黑体" w:eastAsia="黑体"/>
                <w:sz w:val="28"/>
                <w:szCs w:val="28"/>
              </w:rPr>
              <w:t>绩</w:t>
            </w:r>
          </w:p>
          <w:p>
            <w:pPr>
              <w:jc w:val="center"/>
              <w:rPr>
                <w:rFonts w:hint="eastAsia" w:ascii="黑体" w:hAnsi="黑体" w:eastAsia="黑体"/>
                <w:sz w:val="28"/>
                <w:szCs w:val="28"/>
              </w:rPr>
            </w:pPr>
            <w:r>
              <w:rPr>
                <w:rFonts w:hint="eastAsia" w:ascii="黑体" w:hAnsi="黑体" w:eastAsia="黑体"/>
                <w:sz w:val="28"/>
                <w:szCs w:val="28"/>
              </w:rPr>
              <w:t>效</w:t>
            </w:r>
          </w:p>
          <w:p>
            <w:pPr>
              <w:jc w:val="center"/>
              <w:rPr>
                <w:rFonts w:hint="eastAsia" w:ascii="黑体" w:hAnsi="黑体" w:eastAsia="黑体"/>
                <w:sz w:val="28"/>
                <w:szCs w:val="28"/>
              </w:rPr>
            </w:pPr>
            <w:r>
              <w:rPr>
                <w:rFonts w:hint="eastAsia" w:ascii="黑体" w:hAnsi="黑体" w:eastAsia="黑体"/>
                <w:sz w:val="28"/>
                <w:szCs w:val="28"/>
              </w:rPr>
              <w:t>目</w:t>
            </w:r>
          </w:p>
          <w:p>
            <w:pPr>
              <w:jc w:val="center"/>
              <w:rPr>
                <w:rFonts w:ascii="黑体" w:hAnsi="黑体" w:eastAsia="黑体"/>
                <w:szCs w:val="21"/>
              </w:rPr>
            </w:pPr>
            <w:r>
              <w:rPr>
                <w:rFonts w:hint="eastAsia" w:ascii="黑体" w:hAnsi="黑体" w:eastAsia="黑体"/>
                <w:sz w:val="28"/>
                <w:szCs w:val="28"/>
              </w:rPr>
              <w:t>标</w:t>
            </w:r>
          </w:p>
        </w:tc>
        <w:tc>
          <w:tcPr>
            <w:tcW w:w="346"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Cs w:val="21"/>
              </w:rPr>
            </w:pPr>
            <w:r>
              <w:rPr>
                <w:rFonts w:hint="eastAsia" w:ascii="黑体" w:hAnsi="黑体" w:eastAsia="黑体"/>
                <w:szCs w:val="21"/>
              </w:rPr>
              <w:t>一级指标</w:t>
            </w:r>
          </w:p>
        </w:tc>
        <w:tc>
          <w:tcPr>
            <w:tcW w:w="855"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Cs w:val="21"/>
              </w:rPr>
            </w:pPr>
            <w:r>
              <w:rPr>
                <w:rFonts w:hint="eastAsia" w:ascii="黑体" w:hAnsi="黑体" w:eastAsia="黑体"/>
                <w:szCs w:val="21"/>
              </w:rPr>
              <w:t>二级指标</w:t>
            </w:r>
          </w:p>
        </w:tc>
        <w:tc>
          <w:tcPr>
            <w:tcW w:w="1517"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Cs w:val="21"/>
              </w:rPr>
            </w:pPr>
            <w:r>
              <w:rPr>
                <w:rFonts w:hint="eastAsia" w:ascii="黑体" w:hAnsi="黑体" w:eastAsia="黑体"/>
                <w:szCs w:val="21"/>
              </w:rPr>
              <w:t>二级指标</w:t>
            </w:r>
          </w:p>
        </w:tc>
        <w:tc>
          <w:tcPr>
            <w:tcW w:w="1269" w:type="pct"/>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szCs w:val="21"/>
              </w:rPr>
            </w:pPr>
            <w:r>
              <w:rPr>
                <w:rFonts w:hint="eastAsia" w:ascii="黑体" w:hAnsi="黑体" w:eastAsia="黑体"/>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012" w:type="pct"/>
            <w:vMerge w:val="continue"/>
            <w:tcBorders>
              <w:left w:val="single" w:color="auto" w:sz="4" w:space="0"/>
              <w:right w:val="single" w:color="auto" w:sz="4" w:space="0"/>
            </w:tcBorders>
            <w:noWrap w:val="0"/>
            <w:vAlign w:val="center"/>
          </w:tcPr>
          <w:p>
            <w:pPr>
              <w:widowControl/>
              <w:jc w:val="left"/>
              <w:rPr>
                <w:rFonts w:ascii="黑体" w:hAnsi="黑体" w:eastAsia="黑体"/>
                <w:szCs w:val="21"/>
              </w:rPr>
            </w:pPr>
          </w:p>
        </w:tc>
        <w:tc>
          <w:tcPr>
            <w:tcW w:w="346" w:type="pct"/>
            <w:vMerge w:val="restar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p>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产出指标</w:t>
            </w:r>
          </w:p>
        </w:tc>
        <w:tc>
          <w:tcPr>
            <w:tcW w:w="855" w:type="pct"/>
            <w:tcBorders>
              <w:top w:val="single" w:color="auto" w:sz="4" w:space="0"/>
              <w:left w:val="single" w:color="auto" w:sz="4" w:space="0"/>
              <w:right w:val="single" w:color="auto" w:sz="4" w:space="0"/>
            </w:tcBorders>
            <w:noWrap w:val="0"/>
            <w:vAlign w:val="top"/>
          </w:tcPr>
          <w:p>
            <w:pPr>
              <w:rPr>
                <w:rFonts w:hint="eastAsia" w:ascii="方正楷体_GBK" w:hAnsi="方正楷体_GBK" w:eastAsia="方正楷体_GBK" w:cs="方正楷体_GBK"/>
                <w:szCs w:val="21"/>
              </w:rPr>
            </w:pPr>
          </w:p>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数量指标</w:t>
            </w:r>
          </w:p>
        </w:tc>
        <w:tc>
          <w:tcPr>
            <w:tcW w:w="1517" w:type="pct"/>
            <w:tcBorders>
              <w:top w:val="single" w:color="auto" w:sz="4" w:space="0"/>
              <w:left w:val="single" w:color="auto" w:sz="4" w:space="0"/>
              <w:right w:val="single" w:color="auto" w:sz="4" w:space="0"/>
            </w:tcBorders>
            <w:noWrap w:val="0"/>
            <w:vAlign w:val="top"/>
          </w:tcPr>
          <w:p>
            <w:pPr>
              <w:jc w:val="left"/>
              <w:rPr>
                <w:rFonts w:hint="eastAsia" w:ascii="方正楷体_GBK" w:hAnsi="方正楷体_GBK" w:eastAsia="方正楷体_GBK" w:cs="方正楷体_GBK"/>
                <w:spacing w:val="-20"/>
                <w:sz w:val="21"/>
                <w:szCs w:val="21"/>
              </w:rPr>
            </w:pPr>
            <w:r>
              <w:rPr>
                <w:rFonts w:hint="eastAsia" w:ascii="方正楷体_GBK" w:hAnsi="方正楷体_GBK" w:eastAsia="方正楷体_GBK" w:cs="方正楷体_GBK"/>
                <w:sz w:val="21"/>
                <w:szCs w:val="21"/>
              </w:rPr>
              <w:t>享受医疗待遇</w:t>
            </w:r>
            <w:r>
              <w:rPr>
                <w:rFonts w:hint="eastAsia" w:ascii="方正楷体_GBK" w:hAnsi="方正楷体_GBK" w:eastAsia="方正楷体_GBK" w:cs="方正楷体_GBK"/>
                <w:sz w:val="21"/>
                <w:szCs w:val="21"/>
                <w:lang w:eastAsia="zh-CN"/>
              </w:rPr>
              <w:t>优抚</w:t>
            </w:r>
            <w:r>
              <w:rPr>
                <w:rFonts w:hint="eastAsia" w:ascii="方正楷体_GBK" w:hAnsi="方正楷体_GBK" w:eastAsia="方正楷体_GBK" w:cs="方正楷体_GBK"/>
                <w:sz w:val="21"/>
                <w:szCs w:val="21"/>
              </w:rPr>
              <w:t>对象人数</w:t>
            </w:r>
          </w:p>
        </w:tc>
        <w:tc>
          <w:tcPr>
            <w:tcW w:w="1269"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残疾军人、三属、在乡老复员军人、带病回乡退伍军人、参战退役人员</w:t>
            </w:r>
            <w:r>
              <w:rPr>
                <w:rFonts w:hint="eastAsia" w:ascii="方正楷体_GBK" w:hAnsi="方正楷体_GBK" w:eastAsia="方正楷体_GBK" w:cs="方正楷体_GBK"/>
                <w:szCs w:val="21"/>
                <w:lang w:val="en-US" w:eastAsia="zh-CN"/>
              </w:rPr>
              <w:t>2479</w:t>
            </w:r>
            <w:r>
              <w:rPr>
                <w:rFonts w:hint="eastAsia" w:ascii="方正楷体_GBK" w:hAnsi="方正楷体_GBK" w:eastAsia="方正楷体_GBK" w:cs="方正楷体_GBK"/>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12" w:type="pct"/>
            <w:vMerge w:val="continue"/>
            <w:tcBorders>
              <w:left w:val="single" w:color="auto" w:sz="4" w:space="0"/>
              <w:right w:val="single" w:color="auto" w:sz="4" w:space="0"/>
            </w:tcBorders>
            <w:noWrap w:val="0"/>
            <w:vAlign w:val="center"/>
          </w:tcPr>
          <w:p>
            <w:pPr>
              <w:widowControl/>
              <w:jc w:val="left"/>
              <w:rPr>
                <w:rFonts w:ascii="黑体" w:hAnsi="黑体" w:eastAsia="黑体"/>
                <w:szCs w:val="21"/>
              </w:rPr>
            </w:pPr>
          </w:p>
        </w:tc>
        <w:tc>
          <w:tcPr>
            <w:tcW w:w="346" w:type="pct"/>
            <w:vMerge w:val="continue"/>
            <w:tcBorders>
              <w:left w:val="single" w:color="auto" w:sz="4" w:space="0"/>
              <w:right w:val="single" w:color="auto" w:sz="4" w:space="0"/>
            </w:tcBorders>
            <w:noWrap w:val="0"/>
            <w:vAlign w:val="center"/>
          </w:tcPr>
          <w:p>
            <w:pPr>
              <w:widowControl/>
              <w:jc w:val="left"/>
              <w:rPr>
                <w:rFonts w:hint="eastAsia" w:ascii="方正楷体_GBK" w:hAnsi="方正楷体_GBK" w:eastAsia="方正楷体_GBK" w:cs="方正楷体_GBK"/>
                <w:szCs w:val="21"/>
              </w:rPr>
            </w:pPr>
          </w:p>
        </w:tc>
        <w:tc>
          <w:tcPr>
            <w:tcW w:w="855" w:type="pct"/>
            <w:vMerge w:val="restar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质量指标</w:t>
            </w:r>
          </w:p>
        </w:tc>
        <w:tc>
          <w:tcPr>
            <w:tcW w:w="1517" w:type="pct"/>
            <w:tcBorders>
              <w:top w:val="single" w:color="auto" w:sz="4" w:space="0"/>
              <w:left w:val="single" w:color="auto" w:sz="4" w:space="0"/>
              <w:right w:val="single" w:color="auto" w:sz="4" w:space="0"/>
            </w:tcBorders>
            <w:noWrap w:val="0"/>
            <w:vAlign w:val="top"/>
          </w:tcPr>
          <w:p>
            <w:pPr>
              <w:jc w:val="left"/>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lang w:eastAsia="zh-CN"/>
              </w:rPr>
              <w:t>及时享受医疗保障待遇率</w:t>
            </w:r>
          </w:p>
        </w:tc>
        <w:tc>
          <w:tcPr>
            <w:tcW w:w="1269"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default" w:ascii="Arial" w:hAnsi="Arial" w:eastAsia="方正楷体_GBK" w:cs="Arial"/>
                <w:szCs w:val="21"/>
              </w:rPr>
              <w:t>≥</w:t>
            </w:r>
            <w:r>
              <w:rPr>
                <w:rFonts w:hint="eastAsia" w:ascii="方正楷体_GBK" w:hAnsi="方正楷体_GBK" w:eastAsia="方正楷体_GBK" w:cs="方正楷体_GBK"/>
                <w:szCs w:val="21"/>
              </w:rPr>
              <w:t>8</w:t>
            </w:r>
            <w:r>
              <w:rPr>
                <w:rFonts w:hint="eastAsia" w:ascii="方正楷体_GBK" w:hAnsi="方正楷体_GBK" w:eastAsia="方正楷体_GBK" w:cs="方正楷体_GBK"/>
                <w:szCs w:val="21"/>
                <w:lang w:val="en-US" w:eastAsia="zh-CN"/>
              </w:rPr>
              <w:t>0</w:t>
            </w:r>
            <w:r>
              <w:rPr>
                <w:rFonts w:hint="eastAsia" w:ascii="方正楷体_GBK" w:hAnsi="方正楷体_GBK" w:eastAsia="方正楷体_GBK" w:cs="方正楷体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012" w:type="pct"/>
            <w:vMerge w:val="continue"/>
            <w:tcBorders>
              <w:left w:val="single" w:color="auto" w:sz="4" w:space="0"/>
              <w:bottom w:val="single" w:color="auto" w:sz="4" w:space="0"/>
              <w:right w:val="single" w:color="auto" w:sz="4" w:space="0"/>
            </w:tcBorders>
            <w:noWrap w:val="0"/>
            <w:vAlign w:val="center"/>
          </w:tcPr>
          <w:p>
            <w:pPr>
              <w:widowControl/>
              <w:jc w:val="left"/>
              <w:rPr>
                <w:rFonts w:ascii="黑体" w:hAnsi="黑体" w:eastAsia="黑体"/>
                <w:szCs w:val="21"/>
              </w:rPr>
            </w:pPr>
          </w:p>
        </w:tc>
        <w:tc>
          <w:tcPr>
            <w:tcW w:w="346" w:type="pct"/>
            <w:vMerge w:val="continue"/>
            <w:tcBorders>
              <w:left w:val="single" w:color="auto" w:sz="4" w:space="0"/>
              <w:right w:val="single" w:color="auto" w:sz="4" w:space="0"/>
            </w:tcBorders>
            <w:noWrap w:val="0"/>
            <w:vAlign w:val="center"/>
          </w:tcPr>
          <w:p>
            <w:pPr>
              <w:widowControl/>
              <w:jc w:val="left"/>
              <w:rPr>
                <w:rFonts w:hint="eastAsia" w:ascii="方正楷体_GBK" w:hAnsi="方正楷体_GBK" w:eastAsia="方正楷体_GBK" w:cs="方正楷体_GBK"/>
                <w:szCs w:val="21"/>
              </w:rPr>
            </w:pPr>
          </w:p>
        </w:tc>
        <w:tc>
          <w:tcPr>
            <w:tcW w:w="855" w:type="pct"/>
            <w:vMerge w:val="continue"/>
            <w:tcBorders>
              <w:left w:val="single" w:color="auto" w:sz="4" w:space="0"/>
              <w:bottom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p>
        </w:tc>
        <w:tc>
          <w:tcPr>
            <w:tcW w:w="1517" w:type="pct"/>
            <w:tcBorders>
              <w:top w:val="single" w:color="auto" w:sz="4" w:space="0"/>
              <w:left w:val="single" w:color="auto" w:sz="4" w:space="0"/>
              <w:bottom w:val="single" w:color="auto" w:sz="4" w:space="0"/>
              <w:right w:val="single" w:color="auto" w:sz="4" w:space="0"/>
            </w:tcBorders>
            <w:noWrap w:val="0"/>
            <w:vAlign w:val="top"/>
          </w:tcPr>
          <w:p>
            <w:pPr>
              <w:jc w:val="left"/>
              <w:rPr>
                <w:rFonts w:hint="eastAsia" w:ascii="方正楷体_GBK" w:hAnsi="方正楷体_GBK" w:eastAsia="方正楷体_GBK" w:cs="方正楷体_GBK"/>
                <w:sz w:val="21"/>
                <w:szCs w:val="21"/>
                <w:lang w:eastAsia="zh-CN"/>
              </w:rPr>
            </w:pPr>
            <w:r>
              <w:rPr>
                <w:rFonts w:hint="eastAsia" w:ascii="方正楷体_GBK" w:hAnsi="方正楷体_GBK" w:eastAsia="方正楷体_GBK" w:cs="方正楷体_GBK"/>
                <w:sz w:val="21"/>
                <w:szCs w:val="21"/>
                <w:lang w:eastAsia="zh-CN"/>
              </w:rPr>
              <w:t>优抚对象医疗保障标准按规定执行率</w:t>
            </w:r>
          </w:p>
        </w:tc>
        <w:tc>
          <w:tcPr>
            <w:tcW w:w="1269" w:type="pct"/>
            <w:tcBorders>
              <w:left w:val="single" w:color="auto" w:sz="4" w:space="0"/>
              <w:bottom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default" w:ascii="Arial" w:hAnsi="Arial" w:eastAsia="方正楷体_GBK" w:cs="Arial"/>
                <w:szCs w:val="21"/>
              </w:rPr>
              <w:t>≥</w:t>
            </w:r>
            <w:r>
              <w:rPr>
                <w:rFonts w:hint="eastAsia" w:ascii="Arial" w:hAnsi="Arial" w:eastAsia="方正楷体_GBK" w:cs="Arial"/>
                <w:szCs w:val="21"/>
                <w:lang w:val="en-US" w:eastAsia="zh-CN"/>
              </w:rPr>
              <w:t>95</w:t>
            </w:r>
            <w:r>
              <w:rPr>
                <w:rFonts w:hint="eastAsia" w:ascii="方正楷体_GBK" w:hAnsi="方正楷体_GBK" w:eastAsia="方正楷体_GBK" w:cs="方正楷体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12" w:type="pct"/>
            <w:vMerge w:val="continue"/>
            <w:tcBorders>
              <w:left w:val="single" w:color="auto" w:sz="4" w:space="0"/>
              <w:right w:val="single" w:color="auto" w:sz="4" w:space="0"/>
            </w:tcBorders>
            <w:noWrap w:val="0"/>
            <w:vAlign w:val="center"/>
          </w:tcPr>
          <w:p>
            <w:pPr>
              <w:widowControl/>
              <w:jc w:val="left"/>
              <w:rPr>
                <w:rFonts w:ascii="黑体" w:hAnsi="黑体" w:eastAsia="黑体"/>
                <w:szCs w:val="21"/>
              </w:rPr>
            </w:pPr>
          </w:p>
        </w:tc>
        <w:tc>
          <w:tcPr>
            <w:tcW w:w="346" w:type="pct"/>
            <w:vMerge w:val="continue"/>
            <w:tcBorders>
              <w:left w:val="single" w:color="auto" w:sz="4" w:space="0"/>
              <w:right w:val="single" w:color="auto" w:sz="4" w:space="0"/>
            </w:tcBorders>
            <w:noWrap w:val="0"/>
            <w:vAlign w:val="center"/>
          </w:tcPr>
          <w:p>
            <w:pPr>
              <w:jc w:val="left"/>
              <w:rPr>
                <w:rFonts w:hint="eastAsia" w:ascii="方正楷体_GBK" w:hAnsi="方正楷体_GBK" w:eastAsia="方正楷体_GBK" w:cs="方正楷体_GBK"/>
                <w:szCs w:val="21"/>
              </w:rPr>
            </w:pPr>
          </w:p>
        </w:tc>
        <w:tc>
          <w:tcPr>
            <w:tcW w:w="855" w:type="pct"/>
            <w:tcBorders>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时效指标</w:t>
            </w:r>
          </w:p>
        </w:tc>
        <w:tc>
          <w:tcPr>
            <w:tcW w:w="1517" w:type="pct"/>
            <w:tcBorders>
              <w:top w:val="single" w:color="auto" w:sz="4" w:space="0"/>
              <w:left w:val="single" w:color="auto" w:sz="4" w:space="0"/>
              <w:right w:val="single" w:color="auto" w:sz="4" w:space="0"/>
            </w:tcBorders>
            <w:noWrap w:val="0"/>
            <w:vAlign w:val="top"/>
          </w:tcPr>
          <w:p>
            <w:pPr>
              <w:jc w:val="left"/>
              <w:rPr>
                <w:rFonts w:hint="eastAsia" w:ascii="方正楷体_GBK" w:hAnsi="方正楷体_GBK" w:eastAsia="方正楷体_GBK" w:cs="方正楷体_GBK"/>
                <w:sz w:val="21"/>
                <w:szCs w:val="21"/>
                <w:lang w:eastAsia="zh-CN"/>
              </w:rPr>
            </w:pPr>
            <w:r>
              <w:rPr>
                <w:rFonts w:hint="eastAsia" w:ascii="方正楷体_GBK" w:hAnsi="方正楷体_GBK" w:eastAsia="方正楷体_GBK" w:cs="方正楷体_GBK"/>
                <w:spacing w:val="-20"/>
                <w:sz w:val="21"/>
                <w:szCs w:val="21"/>
              </w:rPr>
              <w:t>优抚</w:t>
            </w:r>
            <w:r>
              <w:rPr>
                <w:rFonts w:hint="eastAsia" w:ascii="方正楷体_GBK" w:hAnsi="方正楷体_GBK" w:eastAsia="方正楷体_GBK" w:cs="方正楷体_GBK"/>
                <w:spacing w:val="-20"/>
                <w:sz w:val="21"/>
                <w:szCs w:val="21"/>
                <w:lang w:eastAsia="zh-CN"/>
              </w:rPr>
              <w:t>对象</w:t>
            </w:r>
            <w:r>
              <w:rPr>
                <w:rFonts w:hint="eastAsia" w:ascii="方正楷体_GBK" w:hAnsi="方正楷体_GBK" w:eastAsia="方正楷体_GBK" w:cs="方正楷体_GBK"/>
                <w:spacing w:val="-20"/>
                <w:sz w:val="21"/>
                <w:szCs w:val="21"/>
              </w:rPr>
              <w:t>医疗保障经费</w:t>
            </w:r>
            <w:r>
              <w:rPr>
                <w:rFonts w:hint="eastAsia" w:ascii="方正楷体_GBK" w:hAnsi="方正楷体_GBK" w:eastAsia="方正楷体_GBK" w:cs="方正楷体_GBK"/>
                <w:spacing w:val="-20"/>
                <w:sz w:val="21"/>
                <w:szCs w:val="21"/>
                <w:lang w:eastAsia="zh-CN"/>
              </w:rPr>
              <w:t>及时拨付率</w:t>
            </w:r>
          </w:p>
        </w:tc>
        <w:tc>
          <w:tcPr>
            <w:tcW w:w="1269"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12" w:type="pct"/>
            <w:vMerge w:val="continue"/>
            <w:tcBorders>
              <w:left w:val="single" w:color="auto" w:sz="4" w:space="0"/>
              <w:right w:val="single" w:color="auto" w:sz="4" w:space="0"/>
            </w:tcBorders>
            <w:noWrap w:val="0"/>
            <w:vAlign w:val="center"/>
          </w:tcPr>
          <w:p>
            <w:pPr>
              <w:widowControl/>
              <w:jc w:val="left"/>
              <w:rPr>
                <w:rFonts w:ascii="黑体" w:hAnsi="黑体" w:eastAsia="黑体"/>
                <w:szCs w:val="21"/>
              </w:rPr>
            </w:pPr>
          </w:p>
        </w:tc>
        <w:tc>
          <w:tcPr>
            <w:tcW w:w="346"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效益指标</w:t>
            </w:r>
          </w:p>
        </w:tc>
        <w:tc>
          <w:tcPr>
            <w:tcW w:w="855" w:type="pct"/>
            <w:tcBorders>
              <w:top w:val="single" w:color="auto" w:sz="4" w:space="0"/>
              <w:left w:val="single" w:color="auto" w:sz="4" w:space="0"/>
              <w:right w:val="single" w:color="auto" w:sz="4" w:space="0"/>
            </w:tcBorders>
            <w:noWrap w:val="0"/>
            <w:vAlign w:val="top"/>
          </w:tcPr>
          <w:p>
            <w:pPr>
              <w:jc w:val="both"/>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社会效益指标</w:t>
            </w:r>
          </w:p>
        </w:tc>
        <w:tc>
          <w:tcPr>
            <w:tcW w:w="1517" w:type="pct"/>
            <w:tcBorders>
              <w:top w:val="single" w:color="auto" w:sz="4" w:space="0"/>
              <w:left w:val="single" w:color="auto" w:sz="4" w:space="0"/>
              <w:right w:val="single" w:color="auto" w:sz="4" w:space="0"/>
            </w:tcBorders>
            <w:noWrap w:val="0"/>
            <w:vAlign w:val="top"/>
          </w:tcPr>
          <w:p>
            <w:pPr>
              <w:jc w:val="left"/>
              <w:rPr>
                <w:rFonts w:hint="eastAsia" w:ascii="方正楷体_GBK" w:hAnsi="方正楷体_GBK" w:eastAsia="方正楷体_GBK" w:cs="方正楷体_GBK"/>
                <w:sz w:val="21"/>
                <w:szCs w:val="21"/>
                <w:lang w:eastAsia="zh-CN"/>
              </w:rPr>
            </w:pPr>
            <w:r>
              <w:rPr>
                <w:rFonts w:hint="eastAsia" w:ascii="方正楷体_GBK" w:hAnsi="方正楷体_GBK" w:eastAsia="方正楷体_GBK" w:cs="方正楷体_GBK"/>
                <w:sz w:val="21"/>
                <w:szCs w:val="21"/>
              </w:rPr>
              <w:t>优抚对象</w:t>
            </w:r>
            <w:r>
              <w:rPr>
                <w:rFonts w:hint="eastAsia" w:ascii="方正楷体_GBK" w:hAnsi="方正楷体_GBK" w:eastAsia="方正楷体_GBK" w:cs="方正楷体_GBK"/>
                <w:sz w:val="21"/>
                <w:szCs w:val="21"/>
                <w:lang w:eastAsia="zh-CN"/>
              </w:rPr>
              <w:t>政策知晓率</w:t>
            </w:r>
          </w:p>
        </w:tc>
        <w:tc>
          <w:tcPr>
            <w:tcW w:w="1269"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default" w:ascii="Arial" w:hAnsi="Arial" w:eastAsia="方正楷体_GBK" w:cs="Arial"/>
                <w:szCs w:val="21"/>
              </w:rPr>
              <w:t>≥</w:t>
            </w:r>
            <w:r>
              <w:rPr>
                <w:rFonts w:hint="eastAsia" w:ascii="Arial" w:hAnsi="Arial" w:eastAsia="方正楷体_GBK" w:cs="Arial"/>
                <w:szCs w:val="21"/>
                <w:lang w:val="en-US" w:eastAsia="zh-CN"/>
              </w:rPr>
              <w:t>90</w:t>
            </w:r>
            <w:r>
              <w:rPr>
                <w:rFonts w:hint="eastAsia" w:ascii="方正楷体_GBK" w:hAnsi="方正楷体_GBK" w:eastAsia="方正楷体_GBK" w:cs="方正楷体_GBK"/>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12" w:type="pct"/>
            <w:vMerge w:val="continue"/>
            <w:tcBorders>
              <w:left w:val="single" w:color="auto" w:sz="4" w:space="0"/>
              <w:right w:val="single" w:color="auto" w:sz="4" w:space="0"/>
            </w:tcBorders>
            <w:noWrap w:val="0"/>
            <w:vAlign w:val="center"/>
          </w:tcPr>
          <w:p>
            <w:pPr>
              <w:widowControl/>
              <w:jc w:val="left"/>
              <w:rPr>
                <w:rFonts w:ascii="黑体" w:hAnsi="黑体" w:eastAsia="黑体"/>
                <w:szCs w:val="21"/>
              </w:rPr>
            </w:pPr>
          </w:p>
        </w:tc>
        <w:tc>
          <w:tcPr>
            <w:tcW w:w="346"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满意度指标</w:t>
            </w:r>
          </w:p>
        </w:tc>
        <w:tc>
          <w:tcPr>
            <w:tcW w:w="855"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rPr>
            </w:pPr>
            <w:r>
              <w:rPr>
                <w:rFonts w:hint="eastAsia" w:ascii="方正楷体_GBK" w:hAnsi="方正楷体_GBK" w:eastAsia="方正楷体_GBK" w:cs="方正楷体_GBK"/>
                <w:szCs w:val="21"/>
              </w:rPr>
              <w:t>服务对象满意度指标</w:t>
            </w:r>
          </w:p>
        </w:tc>
        <w:tc>
          <w:tcPr>
            <w:tcW w:w="1517" w:type="pct"/>
            <w:tcBorders>
              <w:top w:val="single" w:color="auto" w:sz="4" w:space="0"/>
              <w:left w:val="single" w:color="auto" w:sz="4" w:space="0"/>
              <w:right w:val="single" w:color="auto" w:sz="4" w:space="0"/>
            </w:tcBorders>
            <w:noWrap w:val="0"/>
            <w:vAlign w:val="top"/>
          </w:tcPr>
          <w:p>
            <w:pPr>
              <w:jc w:val="left"/>
              <w:rPr>
                <w:rFonts w:hint="eastAsia" w:ascii="方正楷体_GBK" w:hAnsi="方正楷体_GBK" w:eastAsia="方正楷体_GBK" w:cs="方正楷体_GBK"/>
                <w:sz w:val="21"/>
                <w:szCs w:val="21"/>
              </w:rPr>
            </w:pPr>
            <w:r>
              <w:rPr>
                <w:rFonts w:hint="eastAsia" w:ascii="方正楷体_GBK" w:hAnsi="方正楷体_GBK" w:eastAsia="方正楷体_GBK" w:cs="方正楷体_GBK"/>
                <w:sz w:val="21"/>
                <w:szCs w:val="21"/>
              </w:rPr>
              <w:t>优抚对象</w:t>
            </w:r>
            <w:r>
              <w:rPr>
                <w:rFonts w:hint="eastAsia" w:ascii="方正楷体_GBK" w:hAnsi="方正楷体_GBK" w:eastAsia="方正楷体_GBK" w:cs="方正楷体_GBK"/>
                <w:sz w:val="21"/>
                <w:szCs w:val="21"/>
                <w:lang w:eastAsia="zh-CN"/>
              </w:rPr>
              <w:t>享受医疗保障</w:t>
            </w:r>
            <w:r>
              <w:rPr>
                <w:rFonts w:hint="eastAsia" w:ascii="方正楷体_GBK" w:hAnsi="方正楷体_GBK" w:eastAsia="方正楷体_GBK" w:cs="方正楷体_GBK"/>
                <w:sz w:val="21"/>
                <w:szCs w:val="21"/>
              </w:rPr>
              <w:t>满意度</w:t>
            </w:r>
          </w:p>
        </w:tc>
        <w:tc>
          <w:tcPr>
            <w:tcW w:w="1269" w:type="pct"/>
            <w:tcBorders>
              <w:top w:val="single" w:color="auto" w:sz="4" w:space="0"/>
              <w:left w:val="single" w:color="auto" w:sz="4" w:space="0"/>
              <w:right w:val="single" w:color="auto" w:sz="4" w:space="0"/>
            </w:tcBorders>
            <w:noWrap w:val="0"/>
            <w:vAlign w:val="top"/>
          </w:tcPr>
          <w:p>
            <w:pPr>
              <w:jc w:val="center"/>
              <w:rPr>
                <w:rFonts w:hint="eastAsia" w:ascii="方正楷体_GBK" w:hAnsi="方正楷体_GBK" w:eastAsia="方正楷体_GBK" w:cs="方正楷体_GBK"/>
                <w:szCs w:val="21"/>
                <w:lang w:eastAsia="zh-CN"/>
              </w:rPr>
            </w:pPr>
            <w:r>
              <w:rPr>
                <w:rFonts w:hint="default" w:ascii="Arial" w:hAnsi="Arial" w:eastAsia="方正楷体_GBK" w:cs="Arial"/>
                <w:szCs w:val="21"/>
              </w:rPr>
              <w:t>≥</w:t>
            </w:r>
            <w:r>
              <w:rPr>
                <w:rFonts w:hint="eastAsia" w:ascii="方正楷体_GBK" w:hAnsi="方正楷体_GBK" w:eastAsia="方正楷体_GBK" w:cs="方正楷体_GBK"/>
                <w:szCs w:val="21"/>
              </w:rPr>
              <w:t>85%</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2D4DBE-5D22-440C-A589-B316B804BC98}"/>
    <w:docVar w:name="DocumentName" w:val="梁财社〔2022〕118号关于下达2022年省级优抚对象医疗保障经费和“老女兵”医疗专项补助经费的通知"/>
  </w:docVars>
  <w:rsids>
    <w:rsidRoot w:val="00000000"/>
    <w:rsid w:val="00830B3A"/>
    <w:rsid w:val="06007873"/>
    <w:rsid w:val="0786416F"/>
    <w:rsid w:val="09141841"/>
    <w:rsid w:val="09745825"/>
    <w:rsid w:val="09E911F1"/>
    <w:rsid w:val="0AE5706E"/>
    <w:rsid w:val="0B0A6A71"/>
    <w:rsid w:val="0B292552"/>
    <w:rsid w:val="0C3B1CA8"/>
    <w:rsid w:val="0C83624D"/>
    <w:rsid w:val="0D3F0EEB"/>
    <w:rsid w:val="0DBC559A"/>
    <w:rsid w:val="0E2142A1"/>
    <w:rsid w:val="0F695C86"/>
    <w:rsid w:val="0FC4405E"/>
    <w:rsid w:val="0FCB1CE9"/>
    <w:rsid w:val="102F7315"/>
    <w:rsid w:val="1091445F"/>
    <w:rsid w:val="11FC7480"/>
    <w:rsid w:val="12B67DF9"/>
    <w:rsid w:val="13341197"/>
    <w:rsid w:val="138419EE"/>
    <w:rsid w:val="13A6267C"/>
    <w:rsid w:val="148005FB"/>
    <w:rsid w:val="150F5AD2"/>
    <w:rsid w:val="157818E8"/>
    <w:rsid w:val="17F420CC"/>
    <w:rsid w:val="18763BA5"/>
    <w:rsid w:val="193C649E"/>
    <w:rsid w:val="19B16135"/>
    <w:rsid w:val="19CF3670"/>
    <w:rsid w:val="1A1E05BA"/>
    <w:rsid w:val="1A7D6D85"/>
    <w:rsid w:val="1B9D1623"/>
    <w:rsid w:val="1BFA6933"/>
    <w:rsid w:val="1C172982"/>
    <w:rsid w:val="1D815751"/>
    <w:rsid w:val="1DD646B6"/>
    <w:rsid w:val="1DEA7DC2"/>
    <w:rsid w:val="1EA0242D"/>
    <w:rsid w:val="1EEF17D3"/>
    <w:rsid w:val="1EF15C06"/>
    <w:rsid w:val="1FC666FD"/>
    <w:rsid w:val="202424BD"/>
    <w:rsid w:val="2108113C"/>
    <w:rsid w:val="227A5B2F"/>
    <w:rsid w:val="22A83ADD"/>
    <w:rsid w:val="2307485F"/>
    <w:rsid w:val="23494274"/>
    <w:rsid w:val="25766390"/>
    <w:rsid w:val="267A18CC"/>
    <w:rsid w:val="26AC70A7"/>
    <w:rsid w:val="273208E7"/>
    <w:rsid w:val="27327F13"/>
    <w:rsid w:val="279D33AE"/>
    <w:rsid w:val="27AC3A14"/>
    <w:rsid w:val="283B2521"/>
    <w:rsid w:val="28AC1ED8"/>
    <w:rsid w:val="2B4D5322"/>
    <w:rsid w:val="2C213B0E"/>
    <w:rsid w:val="2C622667"/>
    <w:rsid w:val="2F10570F"/>
    <w:rsid w:val="2F2819F8"/>
    <w:rsid w:val="300121BD"/>
    <w:rsid w:val="315D7DA4"/>
    <w:rsid w:val="317967B1"/>
    <w:rsid w:val="32026C74"/>
    <w:rsid w:val="32572CB0"/>
    <w:rsid w:val="32CB2F7B"/>
    <w:rsid w:val="32FA4E5F"/>
    <w:rsid w:val="34E51D3A"/>
    <w:rsid w:val="357A2BD6"/>
    <w:rsid w:val="3782629D"/>
    <w:rsid w:val="380657E0"/>
    <w:rsid w:val="3A1145AF"/>
    <w:rsid w:val="3B556E07"/>
    <w:rsid w:val="3D1E75A7"/>
    <w:rsid w:val="3D6544F0"/>
    <w:rsid w:val="3F6049B7"/>
    <w:rsid w:val="4038606A"/>
    <w:rsid w:val="40C50F64"/>
    <w:rsid w:val="42253A94"/>
    <w:rsid w:val="422B0AC7"/>
    <w:rsid w:val="425A3156"/>
    <w:rsid w:val="42B810C3"/>
    <w:rsid w:val="43FA3136"/>
    <w:rsid w:val="44D7423A"/>
    <w:rsid w:val="45FF5F18"/>
    <w:rsid w:val="46AF3BC9"/>
    <w:rsid w:val="47CC6BDA"/>
    <w:rsid w:val="47E257F5"/>
    <w:rsid w:val="49AB6531"/>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31872E1"/>
    <w:rsid w:val="54FE12AD"/>
    <w:rsid w:val="55BE3C17"/>
    <w:rsid w:val="5620087B"/>
    <w:rsid w:val="56455A59"/>
    <w:rsid w:val="58940722"/>
    <w:rsid w:val="5A333888"/>
    <w:rsid w:val="5B2F6498"/>
    <w:rsid w:val="5D625B32"/>
    <w:rsid w:val="5ED66A25"/>
    <w:rsid w:val="61353447"/>
    <w:rsid w:val="621D4E67"/>
    <w:rsid w:val="62FB3F34"/>
    <w:rsid w:val="65F64448"/>
    <w:rsid w:val="6633285F"/>
    <w:rsid w:val="6A855C4B"/>
    <w:rsid w:val="6BDF40EE"/>
    <w:rsid w:val="6D2A0593"/>
    <w:rsid w:val="6DDC342C"/>
    <w:rsid w:val="6E0C4A49"/>
    <w:rsid w:val="6E175BAB"/>
    <w:rsid w:val="719515F5"/>
    <w:rsid w:val="719F2C97"/>
    <w:rsid w:val="72323A6D"/>
    <w:rsid w:val="72965C98"/>
    <w:rsid w:val="73066F61"/>
    <w:rsid w:val="73262C99"/>
    <w:rsid w:val="73663EDE"/>
    <w:rsid w:val="73C2712E"/>
    <w:rsid w:val="75277D66"/>
    <w:rsid w:val="761F33F6"/>
    <w:rsid w:val="76460B34"/>
    <w:rsid w:val="76514837"/>
    <w:rsid w:val="76B8261D"/>
    <w:rsid w:val="78117866"/>
    <w:rsid w:val="78451356"/>
    <w:rsid w:val="78A94A62"/>
    <w:rsid w:val="79E82F8E"/>
    <w:rsid w:val="7BA30EF9"/>
    <w:rsid w:val="7BD621F0"/>
    <w:rsid w:val="7C6061A4"/>
    <w:rsid w:val="7DB83FEE"/>
    <w:rsid w:val="7DBE3C71"/>
    <w:rsid w:val="7EF07283"/>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eastAsia="仿宋_GB2312" w:cs="仿宋_GB2312"/>
      <w:color w:val="000000"/>
      <w:sz w:val="30"/>
      <w:szCs w:val="30"/>
      <w:u w:val="none"/>
    </w:rPr>
  </w:style>
  <w:style w:type="paragraph" w:customStyle="1" w:styleId="13">
    <w:name w:val="图表目录1"/>
    <w:basedOn w:val="14"/>
    <w:next w:val="1"/>
    <w:qFormat/>
    <w:uiPriority w:val="0"/>
    <w:pPr>
      <w:ind w:left="200" w:leftChars="200" w:hanging="200" w:hangingChars="200"/>
    </w:pPr>
    <w:rPr>
      <w:rFonts w:ascii="Calibri" w:hAnsi="Calibri" w:eastAsia="宋体" w:cs="Times New Roma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2022-06-24T07:11:00Z</cp:lastPrinted>
  <dcterms:modified xsi:type="dcterms:W3CDTF">2024-05-20T00:13:32Z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