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2"/>
        <w:pBdr/>
        <w:spacing/>
        <w:ind/>
        <w:jc w:val="center"/>
        <w:rPr>
          <w:rFonts w:hint="eastAsia" w:ascii="方正小标宋_GBK" w:hAnsi="方正小标宋_GBK" w:eastAsia="方正小标宋_GBK" w:cs="方正小标宋_GBK"/>
          <w:b w:val="0"/>
          <w:bCs w:val="0"/>
          <w:sz w:val="44"/>
          <w:szCs w:val="44"/>
          <w:lang w:val="en-US" w:eastAsia="zh-CN"/>
        </w:rPr>
      </w:pPr>
      <w:r>
        <w:rPr>
          <w:sz w:val="44"/>
        </w:rPr>
      </w:r>
      <w:r>
        <w:rPr>
          <w:rFonts w:hint="eastAsia" w:ascii="方正小标宋_GBK" w:hAnsi="方正小标宋_GBK" w:eastAsia="方正小标宋_GBK" w:cs="方正小标宋_GBK"/>
          <w:b w:val="0"/>
          <w:bCs w:val="0"/>
          <w:sz w:val="44"/>
          <w:szCs w:val="44"/>
          <w:lang w:eastAsia="zh-CN"/>
        </w:rPr>
        <w:t xml:space="preserve">梁河县财政局</w:t>
      </w:r>
      <w:r>
        <w:rPr>
          <w:rFonts w:hint="eastAsia" w:ascii="方正小标宋_GBK" w:hAnsi="方正小标宋_GBK" w:eastAsia="方正小标宋_GBK" w:cs="方正小标宋_GBK"/>
          <w:b w:val="0"/>
          <w:bCs w:val="0"/>
          <w:sz w:val="44"/>
          <w:szCs w:val="44"/>
          <w:lang w:val="en-US" w:eastAsia="zh-CN"/>
        </w:rPr>
        <w:t xml:space="preserve">关于下达</w:t>
      </w:r>
      <w:r>
        <w:rPr>
          <w:rFonts w:hint="eastAsia" w:ascii="方正小标宋_GBK" w:hAnsi="方正小标宋_GBK" w:eastAsia="方正小标宋_GBK" w:cs="方正小标宋_GBK"/>
          <w:b w:val="0"/>
          <w:bCs w:val="0"/>
          <w:sz w:val="44"/>
          <w:szCs w:val="44"/>
          <w:lang w:val="en-US" w:eastAsia="zh-CN"/>
        </w:rPr>
      </w:r>
      <w:r>
        <w:rPr>
          <w:rFonts w:hint="eastAsia" w:ascii="方正小标宋_GBK" w:hAnsi="方正小标宋_GBK" w:eastAsia="方正小标宋_GBK" w:cs="方正小标宋_GBK"/>
          <w:b w:val="0"/>
          <w:bCs w:val="0"/>
          <w:sz w:val="44"/>
          <w:szCs w:val="44"/>
          <w:lang w:val="en-US" w:eastAsia="zh-CN"/>
        </w:rPr>
      </w:r>
    </w:p>
    <w:p>
      <w:pPr>
        <w:pStyle w:val="652"/>
        <w:pBdr/>
        <w:spacing/>
        <w:ind/>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 xml:space="preserve">2024年基本药物制度中央补助资金的通知</w:t>
      </w:r>
      <w:r>
        <w:rPr>
          <w:rFonts w:hint="eastAsia" w:ascii="方正小标宋_GBK" w:hAnsi="方正小标宋_GBK" w:eastAsia="方正小标宋_GBK" w:cs="方正小标宋_GBK"/>
          <w:b w:val="0"/>
          <w:bCs w:val="0"/>
          <w:sz w:val="44"/>
          <w:szCs w:val="44"/>
          <w:lang w:val="en-US" w:eastAsia="zh-CN"/>
        </w:rPr>
      </w:r>
      <w:r>
        <w:rPr>
          <w:rFonts w:hint="eastAsia" w:ascii="方正小标宋_GBK" w:hAnsi="方正小标宋_GBK" w:eastAsia="方正小标宋_GBK" w:cs="方正小标宋_GBK"/>
          <w:b w:val="0"/>
          <w:bCs w:val="0"/>
          <w:sz w:val="44"/>
          <w:szCs w:val="44"/>
          <w:lang w:val="en-US" w:eastAsia="zh-CN"/>
        </w:rPr>
      </w:r>
    </w:p>
    <w:p>
      <w:pPr>
        <w:pStyle w:val="652"/>
        <w:keepNext w:val="false"/>
        <w:keepLines w:val="false"/>
        <w:pageBreakBefore w:val="false"/>
        <w:widowControl w:val="false"/>
        <w:pBdr/>
        <w:spacing w:line="520" w:lineRule="exact"/>
        <w:ind w:right="0" w:left="0"/>
        <w:jc w:val="both"/>
        <w:outlineLvl w:val="9"/>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r>
      <w:r>
        <w:rPr>
          <w:rFonts w:ascii="Times New Roman" w:hAnsi="Times New Roman" w:eastAsia="仿宋_GB2312" w:cs="Times New Roman"/>
          <w:sz w:val="32"/>
          <w:szCs w:val="32"/>
          <w:lang w:eastAsia="zh-CN"/>
        </w:rPr>
      </w:r>
    </w:p>
    <w:p>
      <w:pPr>
        <w:pStyle w:val="652"/>
        <w:keepNext w:val="false"/>
        <w:keepLines w:val="false"/>
        <w:pageBreakBefore w:val="false"/>
        <w:widowControl w:val="false"/>
        <w:pBdr/>
        <w:spacing w:line="520" w:lineRule="exact"/>
        <w:ind w:right="0" w:left="0"/>
        <w:jc w:val="both"/>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lang w:eastAsia="zh-CN"/>
        </w:rPr>
        <w:t xml:space="preserve">梁河县遮岛镇社区卫生服务中心、梁河县</w:t>
      </w:r>
      <w:r>
        <w:rPr>
          <w:rFonts w:ascii="Times New Roman" w:hAnsi="Times New Roman" w:eastAsia="方正仿宋_GBK" w:cs="Times New Roman"/>
          <w:sz w:val="32"/>
          <w:szCs w:val="32"/>
          <w:lang w:val="en-US" w:eastAsia="zh-CN"/>
        </w:rPr>
        <w:t xml:space="preserve">芒东镇中心卫生院、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勐养镇卫生院、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平山乡卫生院、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小厂乡卫生院、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大厂中心卫生院、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九保乡卫生院、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曩宋乡中心卫生院、</w:t>
      </w:r>
      <w:r>
        <w:rPr>
          <w:rFonts w:ascii="Times New Roman" w:hAnsi="Times New Roman" w:eastAsia="方正仿宋_GBK" w:cs="Times New Roman"/>
          <w:sz w:val="32"/>
          <w:szCs w:val="32"/>
          <w:lang w:eastAsia="zh-CN"/>
        </w:rPr>
        <w:t xml:space="preserve">梁河县</w:t>
      </w:r>
      <w:r>
        <w:rPr>
          <w:rFonts w:ascii="Times New Roman" w:hAnsi="Times New Roman" w:eastAsia="方正仿宋_GBK" w:cs="Times New Roman"/>
          <w:sz w:val="32"/>
          <w:szCs w:val="32"/>
          <w:lang w:val="en-US" w:eastAsia="zh-CN"/>
        </w:rPr>
        <w:t xml:space="preserve">河西乡卫生院</w:t>
      </w:r>
      <w:r>
        <w:rPr>
          <w:rFonts w:ascii="Times New Roman" w:hAnsi="Times New Roman" w:eastAsia="方正仿宋_GBK" w:cs="Times New Roman"/>
          <w:sz w:val="32"/>
          <w:szCs w:val="32"/>
        </w:rPr>
        <w:t xml:space="preserve">：</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xml:space="preserve">为进一步巩固国家基本药物制度，根据《</w:t>
      </w:r>
      <w:r>
        <w:rPr>
          <w:rFonts w:ascii="Times New Roman" w:hAnsi="Times New Roman" w:eastAsia="方正仿宋_GBK" w:cs="Times New Roman"/>
          <w:sz w:val="32"/>
          <w:szCs w:val="32"/>
          <w:lang w:val="en-US" w:eastAsia="zh-CN"/>
        </w:rPr>
        <w:t xml:space="preserve">德宏州财政局 德宏州卫生健康委员会关于下达2024年基本药物制度中央补助资金的通知</w:t>
      </w:r>
      <w:r>
        <w:rPr>
          <w:rFonts w:ascii="Times New Roman" w:hAnsi="Times New Roman" w:eastAsia="方正仿宋_GBK" w:cs="Times New Roman"/>
          <w:sz w:val="32"/>
          <w:szCs w:val="32"/>
        </w:rPr>
        <w:t xml:space="preserve">》（德财</w:t>
      </w:r>
      <w:r>
        <w:rPr>
          <w:rFonts w:hint="eastAsia" w:ascii="Times New Roman" w:hAnsi="Times New Roman" w:eastAsia="方正仿宋_GBK" w:cs="Times New Roman"/>
          <w:sz w:val="32"/>
          <w:szCs w:val="32"/>
          <w:lang w:val="en-US" w:eastAsia="zh-CN"/>
        </w:rPr>
        <w:t xml:space="preserve">社</w:t>
      </w:r>
      <w:r>
        <w:rPr>
          <w:rFonts w:ascii="Times New Roman" w:hAnsi="Times New Roman" w:eastAsia="方正仿宋_GBK" w:cs="Times New Roman"/>
          <w:sz w:val="32"/>
          <w:szCs w:val="32"/>
        </w:rPr>
        <w:t xml:space="preserve">〔20</w:t>
      </w:r>
      <w:r>
        <w:rPr>
          <w:rFonts w:ascii="Times New Roman" w:hAnsi="Times New Roman" w:eastAsia="方正仿宋_GBK" w:cs="Times New Roman"/>
          <w:sz w:val="32"/>
          <w:szCs w:val="32"/>
          <w:lang w:val="en-US" w:eastAsia="zh-CN"/>
        </w:rPr>
        <w:t xml:space="preserve">24</w:t>
      </w:r>
      <w:r>
        <w:rPr>
          <w:rFonts w:ascii="Times New Roman" w:hAnsi="Times New Roman" w:eastAsia="方正仿宋_GBK" w:cs="Times New Roman"/>
          <w:sz w:val="32"/>
          <w:szCs w:val="32"/>
        </w:rPr>
        <w:t xml:space="preserve">〕</w:t>
      </w:r>
      <w:r>
        <w:rPr>
          <w:rFonts w:ascii="Times New Roman" w:hAnsi="Times New Roman" w:eastAsia="方正仿宋_GBK" w:cs="Times New Roman"/>
          <w:sz w:val="32"/>
          <w:szCs w:val="32"/>
          <w:lang w:val="en-US" w:eastAsia="zh-CN"/>
        </w:rPr>
        <w:t xml:space="preserve">11</w:t>
      </w:r>
      <w:r>
        <w:rPr>
          <w:rFonts w:ascii="Times New Roman" w:hAnsi="Times New Roman" w:eastAsia="方正仿宋_GBK" w:cs="Times New Roman"/>
          <w:sz w:val="32"/>
          <w:szCs w:val="32"/>
        </w:rPr>
        <w:t xml:space="preserve">号）文件通知，按领导批示，现</w:t>
      </w:r>
      <w:r>
        <w:rPr>
          <w:rFonts w:ascii="Times New Roman" w:hAnsi="Times New Roman" w:eastAsia="方正仿宋_GBK" w:cs="Times New Roman"/>
          <w:sz w:val="32"/>
          <w:szCs w:val="32"/>
          <w:lang w:val="en-US" w:eastAsia="zh-CN"/>
        </w:rPr>
        <w:t xml:space="preserve">下达你们的2024年基本药物制度中央补助资金（具体金额详见附件），并将有关事项通知如下：</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一、该款项收入列入2024政府收支分类科目“1100249医疗卫生共同财政事权转移支付收入”科目；支出列入“2100399 其他基层医疗卫生机构支出”科目，政府及部门支出经济分类科目，根据实际情况按照《</w:t>
      </w:r>
      <w:r>
        <w:rPr>
          <w:rFonts w:hint="eastAsia" w:ascii="Times New Roman" w:hAnsi="Times New Roman" w:eastAsia="方正仿宋_GBK" w:cs="Times New Roman"/>
          <w:sz w:val="32"/>
          <w:szCs w:val="32"/>
          <w:lang w:val="en-US" w:eastAsia="zh-CN"/>
        </w:rPr>
        <w:t xml:space="preserve">中华人民共和国</w:t>
      </w:r>
      <w:r>
        <w:rPr>
          <w:rFonts w:ascii="Times New Roman" w:hAnsi="Times New Roman" w:eastAsia="方正仿宋_GBK" w:cs="Times New Roman"/>
          <w:sz w:val="32"/>
          <w:szCs w:val="32"/>
          <w:lang w:val="en-US" w:eastAsia="zh-CN"/>
        </w:rPr>
        <w:t xml:space="preserve">预算法》和财政资金相关管理规定列支。</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二、该项转移支付为直达资金，项目名称为基本药物制度补助资金，项目代码为10000013Z135080009027，资金标识为“01 中央直达资金”，贯穿资金分配、拨付、使用等整个环节，且保持不变，财政部门对直达资金实行动态监控。财政部门将中央直达资金分解落实到单位和具体项目时，对资金来源既包含中央直达资金又包含地方对应包含地方对应安排资金的，应在预算指标文件、信息管理系统中按资金明细来源分别列示和登录预算指标。</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三、为进一步加强转移支付绩效目标管理，提高财政资金使用效益，请在组织预算执行中对照区域绩效目标做好绩效监控，确保年度绩效目标如期实现。按照《中共云南省委云南省人民政府关于全面实施预算绩效实施意见》（云发〔2019〕11号）的要求，做好绩效运行监控和绩效评价，确保财政资金安全有效。</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四、请单位收到文件后，于3日内在预算管理一体化系统中挂接项目，完成挂接项目后请电话通知行财股（3019051）。如</w:t>
      </w:r>
      <w:r>
        <w:rPr>
          <w:rFonts w:ascii="Times New Roman" w:hAnsi="Times New Roman" w:eastAsia="方正仿宋_GBK" w:cs="Times New Roman"/>
          <w:sz w:val="32"/>
          <w:szCs w:val="32"/>
          <w:lang w:val="en-US" w:eastAsia="zh-CN"/>
        </w:rPr>
        <w:t xml:space="preserve">未按时限挂接项目导致资金无法正常使用，由各单位自行负责。</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64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 xml:space="preserve">附件：1.2024年基本药物制度专项转移支付资金分配表</w:t>
      </w:r>
      <w:r>
        <w:rPr>
          <w:rFonts w:ascii="Times New Roman" w:hAnsi="Times New Roman" w:eastAsia="方正仿宋_GBK" w:cs="Times New Roman"/>
          <w:sz w:val="32"/>
          <w:szCs w:val="32"/>
          <w:lang w:val="en-US" w:eastAsia="zh-CN"/>
        </w:rPr>
      </w:r>
      <w:r>
        <w:rPr>
          <w:rFonts w:ascii="Times New Roman" w:hAnsi="Times New Roman" w:eastAsia="方正仿宋_GBK" w:cs="Times New Roman"/>
          <w:sz w:val="32"/>
          <w:szCs w:val="32"/>
          <w:lang w:val="en-US" w:eastAsia="zh-CN"/>
        </w:rPr>
      </w:r>
    </w:p>
    <w:p>
      <w:pPr>
        <w:pStyle w:val="652"/>
        <w:keepNext w:val="false"/>
        <w:keepLines w:val="false"/>
        <w:pageBreakBefore w:val="false"/>
        <w:widowControl w:val="false"/>
        <w:pBdr/>
        <w:spacing w:line="600" w:lineRule="exact"/>
        <w:ind w:firstLine="0" w:left="1596"/>
        <w:rPr>
          <w:rFonts w:hint="eastAsia" w:ascii="方正仿宋_GBK" w:hAnsi="方正仿宋_GBK" w:eastAsia="方正仿宋_GBK" w:cs="方正仿宋_GBK"/>
          <w:sz w:val="32"/>
          <w:szCs w:val="32"/>
          <w:lang w:eastAsia="zh-CN"/>
        </w:rPr>
      </w:pPr>
      <w:r>
        <w:rPr>
          <w:rFonts w:ascii="Times New Roman" w:hAnsi="Times New Roman" w:eastAsia="方正仿宋_GBK" w:cs="Times New Roman"/>
          <w:sz w:val="32"/>
          <w:szCs w:val="32"/>
          <w:lang w:val="en-US" w:eastAsia="zh-CN"/>
        </w:rPr>
        <w:t xml:space="preserve">2.2024年基本药物制度专项转移支付资金绩效目标表</w:t>
      </w:r>
      <w:r>
        <w:rPr>
          <w:rFonts w:hint="eastAsia" w:ascii="方正仿宋_GBK" w:hAnsi="方正仿宋_GBK" w:eastAsia="方正仿宋_GBK" w:cs="方正仿宋_GBK"/>
          <w:sz w:val="32"/>
          <w:szCs w:val="32"/>
          <w:lang w:eastAsia="zh-CN"/>
        </w:rPr>
      </w:r>
      <w:r>
        <w:rPr>
          <w:rFonts w:hint="eastAsia" w:ascii="方正仿宋_GBK" w:hAnsi="方正仿宋_GBK" w:eastAsia="方正仿宋_GBK" w:cs="方正仿宋_GBK"/>
          <w:sz w:val="32"/>
          <w:szCs w:val="32"/>
          <w:lang w:eastAsia="zh-CN"/>
        </w:rPr>
      </w:r>
    </w:p>
    <w:p>
      <w:pPr>
        <w:pStyle w:val="652"/>
        <w:keepNext w:val="false"/>
        <w:keepLines w:val="false"/>
        <w:pageBreakBefore w:val="false"/>
        <w:widowControl w:val="false"/>
        <w:pBdr/>
        <w:spacing w:line="520" w:lineRule="exact"/>
        <w:ind w:right="0" w:firstLine="5760"/>
        <w:jc w:val="both"/>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r>
      <w:r>
        <w:rPr>
          <w:rFonts w:hint="eastAsia" w:ascii="方正仿宋_GBK" w:hAnsi="方正仿宋_GBK" w:eastAsia="方正仿宋_GBK" w:cs="方正仿宋_GBK"/>
          <w:sz w:val="32"/>
          <w:szCs w:val="32"/>
        </w:rPr>
      </w:r>
    </w:p>
    <w:p>
      <w:pPr>
        <w:pStyle w:val="652"/>
        <w:keepNext w:val="false"/>
        <w:keepLines w:val="false"/>
        <w:pageBreakBefore w:val="false"/>
        <w:widowControl w:val="false"/>
        <w:pBdr/>
        <w:spacing w:line="520" w:lineRule="exact"/>
        <w:ind w:right="0" w:firstLine="5760"/>
        <w:jc w:val="both"/>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r>
      <w:r>
        <w:rPr>
          <w:rFonts w:hint="eastAsia" w:ascii="方正仿宋_GBK" w:hAnsi="方正仿宋_GBK" w:eastAsia="方正仿宋_GBK" w:cs="方正仿宋_GBK"/>
          <w:sz w:val="32"/>
          <w:szCs w:val="32"/>
        </w:rPr>
      </w:r>
    </w:p>
    <w:p>
      <w:pPr>
        <w:pStyle w:val="652"/>
        <w:keepNext w:val="false"/>
        <w:keepLines w:val="false"/>
        <w:pageBreakBefore w:val="false"/>
        <w:widowControl w:val="false"/>
        <w:pBdr/>
        <w:spacing w:line="520" w:lineRule="exact"/>
        <w:ind w:right="0" w:firstLine="5760"/>
        <w:jc w:val="both"/>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梁河县财政局</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tabs>
          <w:tab w:val="left" w:leader="none" w:pos="5730"/>
        </w:tabs>
        <w:spacing w:line="520" w:lineRule="exact"/>
        <w:ind w:right="0" w:firstLine="5440"/>
        <w:jc w:val="both"/>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20</w:t>
      </w:r>
      <w:r>
        <w:rPr>
          <w:rFonts w:ascii="Times New Roman" w:hAnsi="Times New Roman" w:eastAsia="方正仿宋_GBK" w:cs="Times New Roman"/>
          <w:sz w:val="32"/>
          <w:szCs w:val="32"/>
          <w:lang w:val="en-US" w:eastAsia="zh-CN"/>
        </w:rPr>
        <w:t xml:space="preserve">2</w:t>
      </w:r>
      <w:r>
        <w:rPr>
          <w:rFonts w:hint="eastAsia" w:ascii="Times New Roman" w:hAnsi="Times New Roman" w:eastAsia="方正仿宋_GBK" w:cs="Times New Roman"/>
          <w:sz w:val="32"/>
          <w:szCs w:val="32"/>
          <w:lang w:val="en-US" w:eastAsia="zh-CN"/>
        </w:rPr>
        <w:t xml:space="preserve">4</w:t>
      </w:r>
      <w:r>
        <w:rPr>
          <w:rFonts w:ascii="Times New Roman" w:hAnsi="Times New Roman" w:eastAsia="方正仿宋_GBK" w:cs="Times New Roman"/>
          <w:sz w:val="32"/>
          <w:szCs w:val="32"/>
        </w:rPr>
        <w:t xml:space="preserve">年</w:t>
      </w:r>
      <w:r>
        <w:rPr>
          <w:rFonts w:hint="eastAsia" w:ascii="Times New Roman" w:hAnsi="Times New Roman" w:eastAsia="方正仿宋_GBK" w:cs="Times New Roman"/>
          <w:sz w:val="32"/>
          <w:szCs w:val="32"/>
          <w:lang w:val="en-US" w:eastAsia="zh-CN"/>
        </w:rPr>
        <w:t xml:space="preserve">1</w:t>
      </w:r>
      <w:r>
        <w:rPr>
          <w:rFonts w:ascii="Times New Roman" w:hAnsi="Times New Roman" w:eastAsia="方正仿宋_GBK" w:cs="Times New Roman"/>
          <w:sz w:val="32"/>
          <w:szCs w:val="32"/>
        </w:rPr>
        <w:t xml:space="preserve">月</w:t>
      </w:r>
      <w:r>
        <w:rPr>
          <w:rFonts w:hint="eastAsia" w:ascii="Times New Roman" w:hAnsi="Times New Roman" w:eastAsia="方正仿宋_GBK" w:cs="Times New Roman"/>
          <w:sz w:val="32"/>
          <w:szCs w:val="32"/>
          <w:lang w:val="en-US" w:eastAsia="zh-CN"/>
        </w:rPr>
        <w:t xml:space="preserve">12</w:t>
      </w:r>
      <w:r>
        <w:rPr>
          <w:rFonts w:ascii="Times New Roman" w:hAnsi="Times New Roman" w:eastAsia="方正仿宋_GBK" w:cs="Times New Roman"/>
          <w:sz w:val="32"/>
          <w:szCs w:val="32"/>
        </w:rPr>
        <w:t xml:space="preserve">日</w:t>
      </w:r>
      <w:r>
        <w:rPr>
          <w:rFonts w:ascii="Times New Roman" w:hAnsi="Times New Roman" w:eastAsia="方正仿宋_GBK" w:cs="Times New Roman"/>
          <w:sz w:val="32"/>
          <w:szCs w:val="32"/>
        </w:rPr>
      </w:r>
      <w:r>
        <w:rPr>
          <w:rFonts w:ascii="Times New Roman" w:hAnsi="Times New Roman" w:eastAsia="方正仿宋_GBK" w:cs="Times New Roman"/>
          <w:sz w:val="32"/>
          <w:szCs w:val="32"/>
        </w:rPr>
      </w:r>
    </w:p>
    <w:p>
      <w:pPr>
        <w:pStyle w:val="652"/>
        <w:keepNext w:val="false"/>
        <w:keepLines w:val="false"/>
        <w:pageBreakBefore w:val="false"/>
        <w:widowControl w:val="false"/>
        <w:pBdr/>
        <w:tabs>
          <w:tab w:val="left" w:leader="none" w:pos="5730"/>
        </w:tabs>
        <w:spacing w:line="520" w:lineRule="exact"/>
        <w:ind w:right="0" w:firstLine="5760" w:left="0"/>
        <w:jc w:val="both"/>
        <w:outlineLvl w:val="9"/>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keepNext w:val="false"/>
        <w:keepLines w:val="false"/>
        <w:pageBreakBefore w:val="false"/>
        <w:widowControl w:val="false"/>
        <w:pBdr/>
        <w:tabs>
          <w:tab w:val="left" w:leader="none" w:pos="5730"/>
        </w:tabs>
        <w:spacing w:line="520" w:lineRule="exact"/>
        <w:ind w:right="0" w:firstLine="5760" w:left="0"/>
        <w:jc w:val="both"/>
        <w:outlineLvl w:val="9"/>
        <w:rPr>
          <w:rFonts w:hint="eastAsia" w:ascii="仿宋_GB2312" w:eastAsia="仿宋_GB2312"/>
          <w:sz w:val="32"/>
          <w:szCs w:val="32"/>
        </w:rPr>
      </w:pPr>
      <w:r>
        <w:rPr>
          <w:rFonts w:hint="eastAsia" w:ascii="仿宋_GB2312" w:eastAsia="仿宋_GB2312"/>
          <w:sz w:val="32"/>
          <w:szCs w:val="32"/>
        </w:rPr>
      </w:r>
      <w:r>
        <w:rPr>
          <w:rFonts w:hint="eastAsia" w:ascii="仿宋_GB2312" w:eastAsia="仿宋_GB2312"/>
          <w:sz w:val="32"/>
          <w:szCs w:val="32"/>
        </w:rPr>
      </w:r>
    </w:p>
    <w:p>
      <w:pPr>
        <w:pStyle w:val="652"/>
        <w:keepNext w:val="false"/>
        <w:keepLines w:val="false"/>
        <w:pageBreakBefore w:val="false"/>
        <w:widowControl w:val="false"/>
        <w:pBdr/>
        <w:tabs>
          <w:tab w:val="left" w:leader="none" w:pos="5730"/>
        </w:tabs>
        <w:spacing w:line="520" w:lineRule="exact"/>
        <w:ind w:righ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p>
      <w:pPr>
        <w:pStyle w:val="652"/>
        <w:keepNext w:val="false"/>
        <w:keepLines w:val="false"/>
        <w:pageBreakBefore w:val="false"/>
        <w:widowControl w:val="false"/>
        <w:pBdr/>
        <w:spacing w:line="600" w:lineRule="exact"/>
        <w:ind w:firstLine="643"/>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 xml:space="preserve">附件1：</w:t>
      </w:r>
      <w:r>
        <w:rPr>
          <w:rFonts w:hint="eastAsia" w:ascii="Times New Roman" w:hAnsi="Times New Roman" w:eastAsia="方正仿宋_GBK" w:cs="方正仿宋_GBK"/>
          <w:b/>
          <w:bCs/>
          <w:sz w:val="32"/>
          <w:szCs w:val="32"/>
          <w:lang w:val="en-US" w:eastAsia="zh-CN"/>
        </w:rPr>
      </w:r>
      <w:r>
        <w:rPr>
          <w:rFonts w:hint="eastAsia" w:ascii="Times New Roman" w:hAnsi="Times New Roman" w:eastAsia="方正仿宋_GBK" w:cs="方正仿宋_GBK"/>
          <w:b/>
          <w:bCs/>
          <w:sz w:val="32"/>
          <w:szCs w:val="32"/>
          <w:lang w:val="en-US" w:eastAsia="zh-CN"/>
        </w:rPr>
      </w:r>
    </w:p>
    <w:p>
      <w:pPr>
        <w:pStyle w:val="652"/>
        <w:keepNext w:val="false"/>
        <w:keepLines w:val="false"/>
        <w:pageBreakBefore w:val="false"/>
        <w:widowControl w:val="false"/>
        <w:pBdr/>
        <w:spacing w:line="600" w:lineRule="exact"/>
        <w:ind w:firstLine="643"/>
        <w:jc w:val="center"/>
        <w:rPr>
          <w:rFonts w:hint="eastAsia" w:ascii="Times New Roman" w:hAnsi="Times New Roman" w:eastAsia="方正仿宋_GBK" w:cs="方正仿宋_GBK"/>
          <w:b/>
          <w:bCs/>
          <w:sz w:val="32"/>
          <w:szCs w:val="32"/>
          <w:lang w:val="en-US" w:eastAsia="zh-CN"/>
        </w:rPr>
      </w:pPr>
      <w:r>
        <w:rPr>
          <w:rFonts w:hint="eastAsia" w:eastAsia="方正仿宋_GBK"/>
          <w:b/>
          <w:bCs/>
          <w:sz w:val="32"/>
          <w:szCs w:val="32"/>
          <w:lang w:val="en-US" w:eastAsia="zh-CN"/>
        </w:rPr>
        <w:t xml:space="preserve">2024年基本药物制度专项转移支付资金分配表</w:t>
      </w:r>
      <w:r>
        <w:rPr>
          <w:rFonts w:hint="eastAsia" w:ascii="Times New Roman" w:hAnsi="Times New Roman" w:eastAsia="方正仿宋_GBK" w:cs="方正仿宋_GBK"/>
          <w:b/>
          <w:bCs/>
          <w:sz w:val="32"/>
          <w:szCs w:val="32"/>
          <w:lang w:val="en-US" w:eastAsia="zh-CN"/>
        </w:rPr>
      </w:r>
      <w:r>
        <w:rPr>
          <w:rFonts w:hint="eastAsia" w:ascii="Times New Roman" w:hAnsi="Times New Roman" w:eastAsia="方正仿宋_GBK" w:cs="方正仿宋_GBK"/>
          <w:b/>
          <w:bCs/>
          <w:sz w:val="32"/>
          <w:szCs w:val="32"/>
          <w:lang w:val="en-US" w:eastAsia="zh-CN"/>
        </w:rPr>
      </w:r>
    </w:p>
    <w:p>
      <w:pPr>
        <w:pStyle w:val="652"/>
        <w:keepNext w:val="false"/>
        <w:keepLines w:val="false"/>
        <w:pageBreakBefore w:val="false"/>
        <w:widowControl w:val="false"/>
        <w:pBdr/>
        <w:tabs>
          <w:tab w:val="left" w:leader="none" w:pos="5730"/>
        </w:tabs>
        <w:spacing w:line="520" w:lineRule="exact"/>
        <w:ind w:right="0" w:firstLine="5783" w:left="0"/>
        <w:jc w:val="right"/>
        <w:outlineLvl w:val="9"/>
        <w:rPr>
          <w:rFonts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 xml:space="preserve">单位：元</w:t>
      </w:r>
      <w:r>
        <w:rPr>
          <w:rFonts w:ascii="Times New Roman" w:hAnsi="Times New Roman" w:eastAsia="方正仿宋_GBK" w:cs="Times New Roman"/>
          <w:b/>
          <w:bCs/>
          <w:sz w:val="32"/>
          <w:szCs w:val="32"/>
          <w:lang w:val="en-US" w:eastAsia="zh-CN"/>
        </w:rPr>
      </w:r>
      <w:r>
        <w:rPr>
          <w:rFonts w:ascii="Times New Roman" w:hAnsi="Times New Roman" w:eastAsia="方正仿宋_GBK" w:cs="Times New Roman"/>
          <w:b/>
          <w:bCs/>
          <w:sz w:val="32"/>
          <w:szCs w:val="32"/>
          <w:lang w:val="en-US" w:eastAsia="zh-CN"/>
        </w:rPr>
      </w:r>
    </w:p>
    <w:tbl>
      <w:tblPr>
        <w:tblpPr w:horzAnchor="page" w:tblpX="1620" w:vertAnchor="text" w:tblpY="527" w:leftFromText="180" w:topFromText="0" w:rightFromText="180" w:bottomFromText="0"/>
        <w:tblW w:w="5000"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2935"/>
        <w:gridCol w:w="1890"/>
        <w:gridCol w:w="2835"/>
        <w:gridCol w:w="1457"/>
      </w:tblGrid>
      <w:tr>
        <w:trPr>
          <w:trHeight w:val="92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单位名称</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村卫生室补助资金</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基层医疗卫生机构实施基本药物制度的补助</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合计</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9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梁河县遮岛镇社区卫生服务中心</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47815</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47815</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梁河县芒东镇中心卫生院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199488</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140270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339758</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梁河县勐养镇卫生院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92072</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110247</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202319</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梁河县平山乡卫生院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111418</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78486</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189904</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梁河县小厂乡卫生院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79814</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37922</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117736</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梁河县大厂中心卫生院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67760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50850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118610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梁河县九保乡卫生院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50786</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110994</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161780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梁河县曩宋乡中心卫生院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108037</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65215</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173252</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640"/>
        </w:trPr>
        <w:tc>
          <w:tcPr>
            <w:tcBorders/>
            <w:tcW w:w="1609" w:type="dxa"/>
            <w:vAlign w:val="center"/>
            <w:textDirection w:val="lrTb"/>
            <w:noWrap w:val="false"/>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梁河县河西乡卫生院</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70625</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88201</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158826</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r>
        <w:trPr>
          <w:trHeight w:val="440"/>
        </w:trPr>
        <w:tc>
          <w:tcPr>
            <w:tcBorders/>
            <w:tcW w:w="160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合计</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036"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780000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1554"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730000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c>
          <w:tcPr>
            <w:tcBorders/>
            <w:tcW w:w="799" w:type="dxa"/>
            <w:vAlign w:val="center"/>
            <w:textDirection w:val="lrTb"/>
            <w:noWrap/>
          </w:tcPr>
          <w:p>
            <w:pPr>
              <w:pStyle w:val="652"/>
              <w:keepNext w:val="false"/>
              <w:keepLines w:val="false"/>
              <w:framePr w:hAnchor="page" w:vAnchor="text" w:x="1620" w:y="527"/>
              <w:widowControl w:val="true"/>
              <w:suppressLineNumbers w:val="false"/>
              <w:pBdr/>
              <w:spacing/>
              <w:ind/>
              <w:jc w:val="center"/>
              <w:rPr>
                <w:rFonts w:ascii="Times New Roman" w:hAnsi="Times New Roman" w:eastAsia="方正仿宋_GBK" w:cs="Times New Roman"/>
                <w:b/>
                <w:bCs/>
                <w:i w:val="0"/>
                <w:iCs w:val="0"/>
                <w:color w:val="000000"/>
                <w:sz w:val="24"/>
                <w:szCs w:val="24"/>
                <w:u w:val="none"/>
                <w:lang w:val="en-US" w:eastAsia="zh-CN" w:bidi="ar"/>
              </w:rPr>
            </w:pPr>
            <w:r>
              <w:rPr>
                <w:rFonts w:ascii="Times New Roman" w:hAnsi="Times New Roman" w:eastAsia="方正仿宋_GBK" w:cs="Times New Roman"/>
                <w:b/>
                <w:bCs/>
                <w:i w:val="0"/>
                <w:iCs w:val="0"/>
                <w:color w:val="000000"/>
                <w:sz w:val="24"/>
                <w:szCs w:val="24"/>
                <w:u w:val="none"/>
                <w:lang w:val="en-US" w:eastAsia="zh-CN" w:bidi="ar"/>
              </w:rPr>
              <w:t xml:space="preserve">1510000</w:t>
            </w:r>
            <w:r>
              <w:rPr>
                <w:rFonts w:ascii="Times New Roman" w:hAnsi="Times New Roman" w:eastAsia="方正仿宋_GBK" w:cs="Times New Roman"/>
                <w:b/>
                <w:bCs/>
                <w:i w:val="0"/>
                <w:iCs w:val="0"/>
                <w:color w:val="000000"/>
                <w:sz w:val="24"/>
                <w:szCs w:val="24"/>
                <w:u w:val="none"/>
                <w:lang w:val="en-US" w:eastAsia="zh-CN" w:bidi="ar"/>
              </w:rPr>
            </w:r>
            <w:r>
              <w:rPr>
                <w:rFonts w:ascii="Times New Roman" w:hAnsi="Times New Roman" w:eastAsia="方正仿宋_GBK" w:cs="Times New Roman"/>
                <w:b/>
                <w:bCs/>
                <w:i w:val="0"/>
                <w:iCs w:val="0"/>
                <w:color w:val="000000"/>
                <w:sz w:val="24"/>
                <w:szCs w:val="24"/>
                <w:u w:val="none"/>
                <w:lang w:val="en-US" w:eastAsia="zh-CN" w:bidi="ar"/>
              </w:rPr>
            </w:r>
          </w:p>
        </w:tc>
      </w:tr>
    </w:tbl>
    <w:p>
      <w:pPr>
        <w:pStyle w:val="652"/>
        <w:keepNext w:val="false"/>
        <w:keepLines w:val="false"/>
        <w:pageBreakBefore w:val="false"/>
        <w:widowControl w:val="false"/>
        <w:pBdr/>
        <w:tabs>
          <w:tab w:val="left" w:leader="none" w:pos="5730"/>
        </w:tabs>
        <w:spacing w:line="520" w:lineRule="exact"/>
        <w:ind w:right="0" w:firstLine="5040" w:lef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p>
      <w:pPr>
        <w:pStyle w:val="652"/>
        <w:keepNext w:val="false"/>
        <w:keepLines w:val="false"/>
        <w:pageBreakBefore w:val="false"/>
        <w:widowControl w:val="false"/>
        <w:pBdr/>
        <w:tabs>
          <w:tab w:val="left" w:leader="none" w:pos="5730"/>
        </w:tabs>
        <w:spacing w:line="520" w:lineRule="exact"/>
        <w:ind w:right="0" w:firstLine="5040" w:lef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p>
      <w:pPr>
        <w:pStyle w:val="652"/>
        <w:keepNext w:val="false"/>
        <w:keepLines w:val="false"/>
        <w:pageBreakBefore w:val="false"/>
        <w:widowControl w:val="false"/>
        <w:pBdr/>
        <w:spacing w:line="520" w:lineRule="exact"/>
        <w:ind w:right="0" w:firstLine="280" w:lef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p>
      <w:pPr>
        <w:pStyle w:val="652"/>
        <w:keepNext w:val="false"/>
        <w:keepLines w:val="false"/>
        <w:pageBreakBefore w:val="false"/>
        <w:widowControl w:val="false"/>
        <w:pBdr/>
        <w:spacing w:line="520" w:lineRule="exact"/>
        <w:ind w:right="0" w:firstLine="280" w:lef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p>
      <w:pPr>
        <w:pStyle w:val="652"/>
        <w:keepNext w:val="false"/>
        <w:keepLines w:val="false"/>
        <w:pageBreakBefore w:val="false"/>
        <w:widowControl w:val="false"/>
        <w:pBdr/>
        <w:spacing w:line="520" w:lineRule="exact"/>
        <w:ind w:right="0"/>
        <w:jc w:val="both"/>
        <w:outlineLvl w:val="9"/>
        <w:rPr>
          <w:rFonts w:ascii="Times New Roman" w:hAnsi="Times New Roman" w:eastAsia="方正仿宋_GBK" w:cs="Times New Roman"/>
          <w:sz w:val="28"/>
          <w:szCs w:val="28"/>
        </w:rPr>
      </w:pPr>
      <w:r>
        <w:rPr>
          <w:rFonts w:ascii="Times New Roman" w:hAnsi="Times New Roman" w:eastAsia="方正仿宋_GBK" w:cs="Times New Roman"/>
          <w:sz w:val="28"/>
          <w:szCs w:val="28"/>
        </w:rPr>
      </w:r>
      <w:r>
        <w:rPr>
          <w:rFonts w:ascii="Times New Roman" w:hAnsi="Times New Roman" w:eastAsia="方正仿宋_GBK" w:cs="Times New Roman"/>
          <w:sz w:val="28"/>
          <w:szCs w:val="28"/>
        </w:rPr>
      </w:r>
    </w:p>
    <w:tbl>
      <w:tblPr>
        <w:tblW w:w="5732" w:type="pct"/>
        <w:tblInd w:w="-10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114"/>
        <w:gridCol w:w="1220"/>
        <w:gridCol w:w="1096"/>
        <w:gridCol w:w="1159"/>
        <w:gridCol w:w="2377"/>
        <w:gridCol w:w="234"/>
        <w:gridCol w:w="799"/>
        <w:gridCol w:w="801"/>
        <w:gridCol w:w="312"/>
        <w:gridCol w:w="491"/>
        <w:gridCol w:w="849"/>
      </w:tblGrid>
      <w:tr>
        <w:trPr>
          <w:trHeight w:val="405"/>
        </w:trPr>
        <w:tc>
          <w:tcPr>
            <w:tcBorders/>
            <w:tcW w:w="532" w:type="dxa"/>
            <w:vAlign w:val="center"/>
            <w:textDirection w:val="lrTb"/>
            <w:noWrap/>
          </w:tcPr>
          <w:p>
            <w:pPr>
              <w:pStyle w:val="652"/>
              <w:keepNext w:val="false"/>
              <w:keepLines w:val="false"/>
              <w:widowControl w:val="true"/>
              <w:suppressLineNumbers w:val="false"/>
              <w:pBdr/>
              <w:spacing/>
              <w:ind/>
              <w:jc w:val="left"/>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sz w:val="32"/>
                <w:szCs w:val="32"/>
                <w:u w:val="none"/>
                <w:lang w:val="en-US" w:eastAsia="zh-CN" w:bidi="ar"/>
              </w:rPr>
              <w:t xml:space="preserve">附件2</w:t>
            </w:r>
            <w:r>
              <w:rPr>
                <w:rFonts w:ascii="方正黑体_GBK" w:hAnsi="方正黑体_GBK" w:eastAsia="方正黑体_GBK" w:cs="方正黑体_GBK"/>
                <w:i w:val="0"/>
                <w:iCs w:val="0"/>
                <w:color w:val="000000"/>
                <w:sz w:val="32"/>
                <w:szCs w:val="32"/>
                <w:u w:val="none"/>
              </w:rPr>
            </w:r>
            <w:r>
              <w:rPr>
                <w:rFonts w:ascii="方正黑体_GBK" w:hAnsi="方正黑体_GBK" w:eastAsia="方正黑体_GBK" w:cs="方正黑体_GBK"/>
                <w:i w:val="0"/>
                <w:iCs w:val="0"/>
                <w:color w:val="000000"/>
                <w:sz w:val="32"/>
                <w:szCs w:val="32"/>
                <w:u w:val="none"/>
              </w:rPr>
            </w:r>
          </w:p>
        </w:tc>
        <w:tc>
          <w:tcPr>
            <w:tcBorders/>
            <w:tcW w:w="583"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cW w:w="524"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gridSpan w:val="2"/>
            <w:tcBorders/>
            <w:tcW w:w="3536"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cW w:w="112"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cW w:w="382"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cW w:w="383"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gridSpan w:val="2"/>
            <w:tcBorders/>
            <w:tcW w:w="803"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c>
          <w:tcPr>
            <w:tcBorders/>
            <w:tcW w:w="402" w:type="dxa"/>
            <w:vAlign w:val="center"/>
            <w:textDirection w:val="lrTb"/>
            <w:noWrap/>
          </w:tcPr>
          <w:p>
            <w:pPr>
              <w:pStyle w:val="652"/>
              <w:pBdr/>
              <w:spacing/>
              <w:ind/>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gridAfter w:val="2"/>
          <w:trHeight w:val="720"/>
        </w:trPr>
        <w:tc>
          <w:tcPr>
            <w:gridSpan w:val="9"/>
            <w:tcBorders/>
            <w:tcW w:w="9112" w:type="dxa"/>
            <w:vAlign w:val="center"/>
            <w:textDirection w:val="lrTb"/>
            <w:noWrap w:val="false"/>
          </w:tcPr>
          <w:p>
            <w:pPr>
              <w:pStyle w:val="652"/>
              <w:keepNext w:val="false"/>
              <w:keepLines w:val="false"/>
              <w:widowControl w:val="true"/>
              <w:suppressLineNumbers w:val="false"/>
              <w:pBdr/>
              <w:spacing/>
              <w:ind/>
              <w:jc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sz w:val="36"/>
                <w:szCs w:val="36"/>
                <w:u w:val="none"/>
                <w:lang w:val="en-US" w:eastAsia="zh-CN" w:bidi="ar"/>
              </w:rPr>
              <w:t xml:space="preserve">2024年基本药物制度补助资金绩效目标表</w:t>
            </w:r>
            <w:r>
              <w:rPr>
                <w:rFonts w:ascii="方正小标宋简体" w:hAnsi="方正小标宋简体" w:eastAsia="方正小标宋简体" w:cs="方正小标宋简体"/>
                <w:i w:val="0"/>
                <w:iCs w:val="0"/>
                <w:color w:val="000000"/>
                <w:sz w:val="36"/>
                <w:szCs w:val="36"/>
                <w:u w:val="none"/>
              </w:rPr>
            </w:r>
            <w:r>
              <w:rPr>
                <w:rFonts w:ascii="方正小标宋简体" w:hAnsi="方正小标宋简体" w:eastAsia="方正小标宋简体" w:cs="方正小标宋简体"/>
                <w:i w:val="0"/>
                <w:iCs w:val="0"/>
                <w:color w:val="000000"/>
                <w:sz w:val="36"/>
                <w:szCs w:val="36"/>
                <w:u w:val="none"/>
              </w:rPr>
            </w:r>
          </w:p>
        </w:tc>
      </w:tr>
      <w:tr>
        <w:trPr>
          <w:gridAfter w:val="2"/>
          <w:trHeight w:val="360"/>
        </w:trPr>
        <w:tc>
          <w:tcPr>
            <w:gridSpan w:val="2"/>
            <w:tcBorders/>
            <w:tcW w:w="233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专项名称</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7"/>
            <w:tcBorders/>
            <w:tcW w:w="677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基本药物制度补助资金</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390"/>
        </w:trPr>
        <w:tc>
          <w:tcPr>
            <w:gridSpan w:val="2"/>
            <w:tcBorders/>
            <w:tcW w:w="233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中央主管部门</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7"/>
            <w:tcBorders/>
            <w:tcW w:w="6778"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国家卫生健康委</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315"/>
        </w:trPr>
        <w:tc>
          <w:tcPr>
            <w:gridSpan w:val="2"/>
            <w:tcBorders/>
            <w:tcW w:w="233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州级财政部门</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2255"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德宏州财政局</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1137"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州级主管部门</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德宏州卫生健康委</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410"/>
        </w:trPr>
        <w:tc>
          <w:tcPr>
            <w:gridSpan w:val="2"/>
            <w:tcBorders/>
            <w:tcW w:w="233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县、市财政部门</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2255"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县、市财政局</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1137"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县、市级主管部门</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县、市卫生健康局</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980"/>
        </w:trPr>
        <w:tc>
          <w:tcPr>
            <w:gridSpan w:val="2"/>
            <w:tcBorders/>
            <w:tcW w:w="2334"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年度目标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7"/>
            <w:tcBorders/>
            <w:tcW w:w="6778" w:type="dxa"/>
            <w:vAlign w:val="center"/>
            <w:textDirection w:val="lrTb"/>
            <w:noWrap w:val="false"/>
          </w:tcPr>
          <w:p>
            <w:pPr>
              <w:pStyle w:val="652"/>
              <w:keepNext w:val="false"/>
              <w:keepLines w:val="false"/>
              <w:widowControl w:val="true"/>
              <w:suppressLineNumbers w:val="false"/>
              <w:pBdr/>
              <w:spacing/>
              <w:ind/>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目标1：保证所有政府办基层医疗卫生机构实施国家基本药物制度，推进综合改革顺利进行。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目标2：对实施国家基本药物制度的村卫生室给予补助，支持国家基本药物制度在村卫生室顺利实施。</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365"/>
        </w:trPr>
        <w:tc>
          <w:tcPr>
            <w:tcBorders/>
            <w:tcW w:w="532"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绩效目标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一级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restart"/>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二级指标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三级指标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指标值</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40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continue"/>
            <w:textDirection w:val="lrTb"/>
            <w:noWrap/>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梁河县</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620"/>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产出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数量指标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政府办基层医疗卫生机构实施基本药物制度覆盖率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100%</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55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村卫生室实施基本药物制度覆盖率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100%</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62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效益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经济效益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乡村医生收入</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保持稳定</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680"/>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restart"/>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社会效益指标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覆盖乡村医生人数（人）</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≥169</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1000"/>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基层医疗卫生机构“优质服务基层行”活动开展评价机构数比例</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≥95%</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70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基层医疗卫生机构“优质服务基层行”活动达到基本标准及以上的比例</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≥85%</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720"/>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县域内基层医疗卫生机构 门急诊占比</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较上一年度提升或在60%（含）以上</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60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可持续影响指标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val="false"/>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国家基本药物制度在基层持续实施</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中长期</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r>
        <w:trPr>
          <w:gridAfter w:val="2"/>
          <w:trHeight w:val="725"/>
        </w:trPr>
        <w:tc>
          <w:tcPr>
            <w:tcBorders/>
            <w:tcW w:w="532" w:type="dxa"/>
            <w:vAlign w:val="center"/>
            <w:vMerge w:val="continue"/>
            <w:textDirection w:val="lrTb"/>
            <w:noWrap w:val="false"/>
          </w:tcPr>
          <w:p>
            <w:pPr>
              <w:pStyle w:val="652"/>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83"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满意度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tcBorders/>
            <w:tcW w:w="524" w:type="dxa"/>
            <w:vAlign w:val="center"/>
            <w:textDirection w:val="lrTb"/>
            <w:noWrap w:val="false"/>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服务对象满意度指标</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2"/>
            <w:tcBorders/>
            <w:tcW w:w="3536" w:type="dxa"/>
            <w:vAlign w:val="center"/>
            <w:textDirection w:val="lrTb"/>
            <w:noWrap/>
          </w:tcPr>
          <w:p>
            <w:pPr>
              <w:pStyle w:val="652"/>
              <w:keepNext w:val="false"/>
              <w:keepLines w:val="false"/>
              <w:widowControl w:val="true"/>
              <w:suppressLineNumbers w:val="false"/>
              <w:pBdr/>
              <w:spacing/>
              <w:ind/>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乡村医生满意度</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c>
          <w:tcPr>
            <w:gridSpan w:val="4"/>
            <w:tcBorders/>
            <w:tcW w:w="2146" w:type="dxa"/>
            <w:vAlign w:val="center"/>
            <w:textDirection w:val="lrTb"/>
            <w:noWrap/>
          </w:tcPr>
          <w:p>
            <w:pPr>
              <w:pStyle w:val="652"/>
              <w:keepNext w:val="false"/>
              <w:keepLines w:val="false"/>
              <w:widowControl w:val="true"/>
              <w:suppressLineNumbers w:val="false"/>
              <w:pBdr/>
              <w:spacing/>
              <w:ind/>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bidi="ar"/>
              </w:rPr>
              <w:t xml:space="preserve">≥85%</w:t>
            </w:r>
            <w:r>
              <w:rPr>
                <w:rFonts w:hint="eastAsia" w:ascii="宋体" w:hAnsi="宋体" w:eastAsia="宋体" w:cs="宋体"/>
                <w:i w:val="0"/>
                <w:iCs w:val="0"/>
                <w:color w:val="000000"/>
                <w:sz w:val="22"/>
                <w:szCs w:val="22"/>
                <w:u w:val="none"/>
              </w:rPr>
            </w:r>
            <w:r>
              <w:rPr>
                <w:rFonts w:hint="eastAsia" w:ascii="宋体" w:hAnsi="宋体" w:eastAsia="宋体" w:cs="宋体"/>
                <w:i w:val="0"/>
                <w:iCs w:val="0"/>
                <w:color w:val="000000"/>
                <w:sz w:val="22"/>
                <w:szCs w:val="22"/>
                <w:u w:val="none"/>
              </w:rPr>
            </w:r>
          </w:p>
        </w:tc>
      </w:tr>
    </w:tbl>
    <w:sectPr>
      <w:footerReference w:type="default" r:id="rId8"/>
      <w:footerReference w:type="even" r:id="rId9"/>
      <w:footnotePr/>
      <w:endnotePr/>
      <w:type w:val="nextPage"/>
      <w:pgSz w:h="16838" w:orient="landscape" w:w="11906"/>
      <w:pgMar w:top="2098" w:right="1474" w:bottom="1985" w:left="1531" w:header="851" w:footer="1134"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font>
  <w:font w:name="方正仿宋_GBK">
    <w:panose1 w:val="03000509000000000000"/>
  </w:font>
  <w:font w:name="方正小标宋_GBK">
    <w:panose1 w:val="03000509000000000000"/>
  </w:font>
  <w:font w:name="方正小标宋简体">
    <w:panose1 w:val="03000509000000000000"/>
  </w:font>
  <w:font w:name="仿宋_GB2312">
    <w:panose1 w:val="02010609030101010101"/>
  </w:font>
  <w:font w:name="Arial">
    <w:panose1 w:val="020B0604020202020204"/>
  </w:font>
  <w:font w:name="Calibri">
    <w:panose1 w:val="020F0502020204030204"/>
  </w:font>
  <w:font w:name="Verdana">
    <w:panose1 w:val="020B060403050404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6"/>
      <w:framePr w:hAnchor="margin" w:vAnchor="text" w:wrap="around" w:xAlign="center" w:y="1"/>
      <w:pBdr/>
      <w:tabs>
        <w:tab w:val="center" w:leader="none" w:pos="4153"/>
        <w:tab w:val="right" w:leader="none" w:pos="8306"/>
      </w:tabs>
      <w:spacing/>
      <w:ind/>
      <w:rPr>
        <w:rStyle w:val="659"/>
      </w:rPr>
    </w:pPr>
    <w:r>
      <w:fldChar w:fldCharType="begin"/>
    </w:r>
    <w:r>
      <w:rPr>
        <w:rStyle w:val="659"/>
      </w:rPr>
      <w:instrText xml:space="preserve">PAGE  </w:instrText>
    </w:r>
    <w:r>
      <w:fldChar w:fldCharType="separate"/>
    </w:r>
    <w:r>
      <w:rPr>
        <w:rStyle w:val="659"/>
      </w:rPr>
      <w:t xml:space="preserve">- 1 -</w:t>
    </w:r>
    <w:r>
      <w:fldChar w:fldCharType="end"/>
    </w:r>
    <w:r>
      <w:rPr>
        <w:rStyle w:val="659"/>
      </w:rPr>
    </w:r>
    <w:r>
      <w:rPr>
        <w:rStyle w:val="659"/>
      </w:rPr>
    </w:r>
  </w:p>
  <w:p>
    <w:pPr>
      <w:pStyle w:val="656"/>
      <w:pBdr/>
      <w:tabs>
        <w:tab w:val="center" w:leader="none" w:pos="4153"/>
        <w:tab w:val="right" w:leader="none" w:pos="8306"/>
      </w:tabs>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6"/>
      <w:framePr w:hAnchor="margin" w:vAnchor="text" w:wrap="around" w:xAlign="center" w:y="1"/>
      <w:pBdr/>
      <w:tabs>
        <w:tab w:val="center" w:leader="none" w:pos="4153"/>
        <w:tab w:val="right" w:leader="none" w:pos="8306"/>
      </w:tabs>
      <w:spacing/>
      <w:ind/>
      <w:rPr>
        <w:rStyle w:val="659"/>
      </w:rPr>
    </w:pPr>
    <w:r>
      <w:fldChar w:fldCharType="begin"/>
    </w:r>
    <w:r>
      <w:rPr>
        <w:rStyle w:val="659"/>
      </w:rPr>
      <w:instrText xml:space="preserve">PAGE  </w:instrText>
    </w:r>
    <w:r>
      <w:fldChar w:fldCharType="end"/>
    </w:r>
    <w:r>
      <w:rPr>
        <w:rStyle w:val="659"/>
      </w:rPr>
    </w:r>
    <w:r>
      <w:rPr>
        <w:rStyle w:val="659"/>
      </w:rPr>
    </w:r>
  </w:p>
  <w:p>
    <w:pPr>
      <w:pStyle w:val="656"/>
      <w:pBdr/>
      <w:tabs>
        <w:tab w:val="center" w:leader="none" w:pos="4153"/>
        <w:tab w:val="right" w:leader="none" w:pos="8306"/>
      </w:tabs>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2"/>
    <w:next w:val="65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2"/>
    <w:link w:val="652"/>
    <w:qFormat/>
    <w:pPr>
      <w:widowControl w:val="false"/>
      <w:pBdr/>
      <w:spacing/>
      <w:ind/>
      <w:jc w:val="both"/>
    </w:pPr>
    <w:rPr>
      <w:sz w:val="21"/>
      <w:szCs w:val="24"/>
      <w:lang w:val="en-US" w:eastAsia="zh-CN" w:bidi="ar-SA"/>
    </w:rPr>
  </w:style>
  <w:style w:type="character" w:styleId="653">
    <w:name w:val="默认段落字体"/>
    <w:next w:val="653"/>
    <w:link w:val="652"/>
    <w:semiHidden/>
    <w:pPr>
      <w:pBdr/>
      <w:spacing/>
      <w:ind/>
    </w:pPr>
  </w:style>
  <w:style w:type="table" w:styleId="654">
    <w:name w:val="普通表格"/>
    <w:next w:val="654"/>
    <w:link w:val="65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name w:val="批注框文本"/>
    <w:basedOn w:val="652"/>
    <w:next w:val="655"/>
    <w:link w:val="652"/>
    <w:semiHidden/>
    <w:pPr>
      <w:pBdr/>
      <w:spacing/>
      <w:ind/>
    </w:pPr>
    <w:rPr>
      <w:sz w:val="18"/>
      <w:szCs w:val="18"/>
    </w:rPr>
  </w:style>
  <w:style w:type="paragraph" w:styleId="656">
    <w:name w:val="页脚"/>
    <w:basedOn w:val="652"/>
    <w:next w:val="656"/>
    <w:link w:val="652"/>
    <w:pPr>
      <w:pBdr/>
      <w:tabs>
        <w:tab w:val="center" w:leader="none" w:pos="4153"/>
        <w:tab w:val="right" w:leader="none" w:pos="8306"/>
      </w:tabs>
      <w:spacing/>
      <w:ind/>
      <w:jc w:val="left"/>
    </w:pPr>
    <w:rPr>
      <w:sz w:val="18"/>
      <w:szCs w:val="18"/>
    </w:rPr>
  </w:style>
  <w:style w:type="paragraph" w:styleId="657">
    <w:name w:val="页眉"/>
    <w:basedOn w:val="652"/>
    <w:next w:val="657"/>
    <w:link w:val="658"/>
    <w:pPr>
      <w:pBdr>
        <w:bottom w:val="single" w:color="000000" w:sz="6" w:space="1"/>
      </w:pBdr>
      <w:tabs>
        <w:tab w:val="center" w:leader="none" w:pos="4153"/>
        <w:tab w:val="right" w:leader="none" w:pos="8306"/>
      </w:tabs>
      <w:spacing/>
      <w:ind/>
      <w:jc w:val="center"/>
    </w:pPr>
    <w:rPr>
      <w:sz w:val="18"/>
      <w:szCs w:val="18"/>
    </w:rPr>
  </w:style>
  <w:style w:type="character" w:styleId="658">
    <w:name w:val="页眉 Char"/>
    <w:basedOn w:val="653"/>
    <w:next w:val="658"/>
    <w:link w:val="657"/>
    <w:pPr>
      <w:pBdr/>
      <w:spacing/>
      <w:ind/>
    </w:pPr>
    <w:rPr>
      <w:sz w:val="18"/>
      <w:szCs w:val="18"/>
    </w:rPr>
  </w:style>
  <w:style w:type="character" w:styleId="659">
    <w:name w:val="页码"/>
    <w:basedOn w:val="653"/>
    <w:next w:val="659"/>
    <w:link w:val="652"/>
    <w:pPr>
      <w:pBdr/>
      <w:spacing/>
      <w:ind/>
    </w:pPr>
  </w:style>
  <w:style w:type="paragraph" w:styleId="660">
    <w:name w:val="Char Char Char Char Char Char Char"/>
    <w:basedOn w:val="652"/>
    <w:next w:val="660"/>
    <w:link w:val="652"/>
    <w:pPr>
      <w:pBdr/>
      <w:spacing/>
      <w:ind/>
    </w:pPr>
  </w:style>
  <w:style w:type="paragraph" w:styleId="661">
    <w:name w:val=" Char Char Char Char Char Char Char Char Char Char Char Char Char Char Char Char Char Char Char Char Char Char Char Char Char Char Char Char Char Char Char Char Char"/>
    <w:basedOn w:val="652"/>
    <w:next w:val="661"/>
    <w:link w:val="652"/>
    <w:qFormat/>
    <w:pPr>
      <w:widowControl w:val="true"/>
      <w:pBdr/>
      <w:spacing w:after="160" w:line="240" w:lineRule="exact"/>
      <w:ind/>
      <w:jc w:val="left"/>
    </w:pPr>
    <w:rPr>
      <w:rFonts w:ascii="Verdana" w:hAnsi="Verdana" w:eastAsia="仿宋_GB2312" w:cs="Calibri"/>
      <w:sz w:val="24"/>
      <w:szCs w:val="20"/>
      <w:lang w:eastAsia="en-US"/>
    </w:rPr>
  </w:style>
  <w:style w:type="character" w:styleId="2210" w:default="1">
    <w:name w:val="Default Paragraph Font"/>
    <w:uiPriority w:val="1"/>
    <w:semiHidden/>
    <w:unhideWhenUsed/>
    <w:pPr>
      <w:pBdr/>
      <w:spacing/>
      <w:ind/>
    </w:pPr>
  </w:style>
  <w:style w:type="numbering" w:styleId="2211" w:default="1">
    <w:name w:val="No List"/>
    <w:uiPriority w:val="99"/>
    <w:semiHidden/>
    <w:unhideWhenUsed/>
    <w:pPr>
      <w:pBdr/>
      <w:spacing/>
      <w:ind/>
    </w:pPr>
  </w:style>
  <w:style w:type="table" w:styleId="2212"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Manager/>
  <ScaleCrop>false</ScaleCrop>
  <Template>梁财预红头模</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匿名</cp:lastModifiedBy>
  <cp:revision>2</cp:revision>
  <dcterms:created xsi:type="dcterms:W3CDTF">2009-04-15T03:26:00Z</dcterms:created>
  <dcterms:modified xsi:type="dcterms:W3CDTF">2024-05-22T07:27:55Z</dcterms:modified>
</cp:coreProperties>
</file>