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995"/>
          <w:tab w:val="center" w:pos="4153"/>
        </w:tabs>
        <w:spacing w:line="600" w:lineRule="exact"/>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梁河县财政局关于下达2021年第二批普通高中学生资助补助省级和州级资金的通知</w:t>
      </w:r>
    </w:p>
    <w:p>
      <w:pPr>
        <w:keepNext w:val="0"/>
        <w:keepLines w:val="0"/>
        <w:pageBreakBefore w:val="0"/>
        <w:widowControl w:val="0"/>
        <w:spacing w:line="600" w:lineRule="exact"/>
        <w:ind w:left="0" w:right="0"/>
        <w:jc w:val="both"/>
        <w:outlineLvl w:val="9"/>
        <w:rPr>
          <w:rFonts w:ascii="Times New Roman" w:hAnsi="Times New Roman" w:eastAsia="方正仿宋_GBK" w:cs="Times New Roman"/>
          <w:sz w:val="32"/>
          <w:szCs w:val="32"/>
          <w:lang w:eastAsia="zh-CN"/>
        </w:rPr>
      </w:pPr>
    </w:p>
    <w:p>
      <w:pPr>
        <w:keepNext w:val="0"/>
        <w:keepLines w:val="0"/>
        <w:pageBreakBefore w:val="0"/>
        <w:widowControl w:val="0"/>
        <w:spacing w:line="600" w:lineRule="exact"/>
        <w:ind w:right="0"/>
        <w:outlineLvl w:val="9"/>
        <w:rPr>
          <w:rFonts w:ascii="Times New Roman" w:hAnsi="Times New Roman" w:eastAsia="方正仿宋_GBK" w:cs="Times New Roman"/>
          <w:sz w:val="32"/>
          <w:szCs w:val="32"/>
          <w:lang w:eastAsia="zh-CN"/>
        </w:rPr>
      </w:pPr>
      <w:r>
        <w:rPr>
          <w:rFonts w:ascii="Times New Roman" w:hAnsi="Times New Roman" w:eastAsia="方正仿宋_GBK" w:cs="Times New Roman"/>
          <w:color w:val="000000"/>
          <w:sz w:val="32"/>
          <w:szCs w:val="32"/>
          <w:lang w:val="en-US" w:eastAsia="zh-CN"/>
        </w:rPr>
        <w:t>梁河县第一中学</w:t>
      </w:r>
      <w:r>
        <w:rPr>
          <w:rFonts w:ascii="Times New Roman" w:hAnsi="Times New Roman" w:eastAsia="方正仿宋_GBK" w:cs="Times New Roman"/>
          <w:sz w:val="32"/>
          <w:szCs w:val="32"/>
          <w:lang w:eastAsia="zh-CN"/>
        </w:rPr>
        <w:t>：</w:t>
      </w:r>
    </w:p>
    <w:p>
      <w:pPr>
        <w:keepNext w:val="0"/>
        <w:keepLines w:val="0"/>
        <w:pageBreakBefore w:val="0"/>
        <w:widowControl w:val="0"/>
        <w:spacing w:line="600" w:lineRule="exact"/>
        <w:ind w:left="420" w:right="0" w:firstLine="640"/>
        <w:jc w:val="both"/>
        <w:outlineLvl w:val="9"/>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lang w:val="en-US" w:eastAsia="zh-CN"/>
        </w:rPr>
        <w:t>根据《德宏州财政局德宏州教育局关于下达2021年第二批普通高中学生资助补助省级资金的通知》（德财教〔2021〕144号）精神，现下达你们2021年第二批普通高中学生资助补助省级直达资金5.875万元（详见附件1），此款2021年功能分类科目收入列“1100245-教育共同财政事权转移支付收入”，支出列“2050204-高中教育支出”相关项；政府预算经济分类科目列“51301-上下级政府间转移性支出”。政府及部门支出经济分类科目，请根据该项目要求和实际情况按照</w:t>
      </w:r>
      <w:r>
        <w:rPr>
          <w:rFonts w:hint="eastAsia" w:eastAsia="方正仿宋_GBK" w:cs="Times New Roman"/>
          <w:color w:val="000000"/>
          <w:sz w:val="32"/>
          <w:szCs w:val="32"/>
          <w:lang w:val="en-US" w:eastAsia="zh-CN"/>
        </w:rPr>
        <w:t>《中华人民共和国</w:t>
      </w:r>
      <w:r>
        <w:rPr>
          <w:rFonts w:ascii="Times New Roman" w:hAnsi="Times New Roman" w:eastAsia="方正仿宋_GBK" w:cs="Times New Roman"/>
          <w:color w:val="000000"/>
          <w:sz w:val="32"/>
          <w:szCs w:val="32"/>
          <w:lang w:val="en-US" w:eastAsia="zh-CN"/>
        </w:rPr>
        <w:t>预算法》和财政资金相关管理规定列支。现将有关事项通知如下：</w:t>
      </w:r>
    </w:p>
    <w:p>
      <w:pPr>
        <w:keepNext w:val="0"/>
        <w:keepLines w:val="0"/>
        <w:pageBreakBefore w:val="0"/>
        <w:widowControl w:val="0"/>
        <w:spacing w:line="600" w:lineRule="exact"/>
        <w:ind w:left="420" w:right="0" w:firstLine="640"/>
        <w:jc w:val="both"/>
        <w:outlineLvl w:val="9"/>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一、此次下达资金是在云财教〔2021〕175号已下达部分普通高中免学杂费省级资金的基础上，清算下达全年度的省级资金。学校要严格落实《财政部教育部人力资源社会保障部退役军人部中央军委国防动员部关于印发〈学生资助资金管理办法〉的通知》（财科教〔2019〕19号），切实加强学生资助资金管理，防止资金挤占、挪用、虚列、套取补助资金的行为，确保资助政策不打折扣落实到位。</w:t>
      </w:r>
    </w:p>
    <w:p>
      <w:pPr>
        <w:keepNext w:val="0"/>
        <w:keepLines w:val="0"/>
        <w:pageBreakBefore w:val="0"/>
        <w:widowControl w:val="0"/>
        <w:spacing w:line="600" w:lineRule="exact"/>
        <w:ind w:left="420" w:right="0" w:firstLine="640"/>
        <w:jc w:val="both"/>
        <w:outlineLvl w:val="9"/>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二、2021年，学生资助省级资金属于对应中央安排直达资金管理，直达资金的标识为“01中央直达资金”，“是否中央直达资金的地方对应安排”为“是”，贯穿资金分配、拨付、使用等整个环节，且保持不变。各县市对照区域绩效目标（详见附件）同步分解绩效目标，强化绩效监控和评价，确保年度绩效目标如期实现，注重绩效评价结果应用，做好全过程预算绩效管理。</w:t>
      </w:r>
    </w:p>
    <w:p>
      <w:pPr>
        <w:keepNext w:val="0"/>
        <w:keepLines w:val="0"/>
        <w:pageBreakBefore w:val="0"/>
        <w:widowControl w:val="0"/>
        <w:spacing w:line="600" w:lineRule="exact"/>
        <w:ind w:left="420" w:right="0" w:firstLine="640"/>
        <w:jc w:val="both"/>
        <w:outlineLvl w:val="9"/>
        <w:rPr>
          <w:rFonts w:ascii="Times New Roman" w:hAnsi="Times New Roman" w:eastAsia="方正仿宋_GBK" w:cs="Times New Roman"/>
          <w:color w:val="000000"/>
          <w:sz w:val="32"/>
          <w:szCs w:val="32"/>
          <w:lang w:val="en-US" w:eastAsia="zh-CN"/>
        </w:rPr>
      </w:pPr>
      <w:r>
        <w:rPr>
          <w:rFonts w:ascii="Times New Roman" w:hAnsi="Times New Roman" w:eastAsia="方正仿宋_GBK" w:cs="Times New Roman"/>
          <w:color w:val="000000"/>
          <w:sz w:val="32"/>
          <w:szCs w:val="32"/>
          <w:lang w:val="en-US" w:eastAsia="zh-CN"/>
        </w:rPr>
        <w:t>三、请严格按照《云南省财政厅关于加强预算管理加快支出进度的通知》（云财预〔2018〕164号）要求，加快预算执行进度，涉及政府采购的，要按照政府采购相关规定和程序办理，加快项目实施进度。</w:t>
      </w:r>
    </w:p>
    <w:p>
      <w:pPr>
        <w:keepNext w:val="0"/>
        <w:keepLines w:val="0"/>
        <w:pageBreakBefore w:val="0"/>
        <w:widowControl w:val="0"/>
        <w:spacing w:line="600" w:lineRule="exact"/>
        <w:ind w:right="0"/>
        <w:jc w:val="left"/>
        <w:outlineLvl w:val="9"/>
        <w:rPr>
          <w:rFonts w:ascii="Times New Roman" w:hAnsi="Times New Roman" w:eastAsia="方正仿宋_GBK" w:cs="Times New Roman"/>
          <w:color w:val="000000"/>
          <w:sz w:val="32"/>
          <w:szCs w:val="32"/>
          <w:lang w:val="en-US" w:eastAsia="zh-CN"/>
        </w:rPr>
      </w:pPr>
    </w:p>
    <w:p>
      <w:pPr>
        <w:ind w:left="1598" w:hanging="960"/>
        <w:jc w:val="left"/>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附件：</w:t>
      </w:r>
      <w:r>
        <w:rPr>
          <w:rFonts w:ascii="Times New Roman" w:hAnsi="Times New Roman" w:eastAsia="方正仿宋_GBK" w:cs="Times New Roman"/>
          <w:color w:val="000000"/>
          <w:sz w:val="32"/>
          <w:szCs w:val="32"/>
          <w:lang w:val="en-US" w:eastAsia="zh-CN"/>
        </w:rPr>
        <w:t>1.</w:t>
      </w:r>
      <w:r>
        <w:rPr>
          <w:rFonts w:ascii="Times New Roman" w:hAnsi="Times New Roman" w:eastAsia="方正仿宋_GBK" w:cs="Times New Roman"/>
          <w:sz w:val="32"/>
          <w:szCs w:val="32"/>
          <w:lang w:val="en-US" w:eastAsia="zh-CN"/>
        </w:rPr>
        <w:t>2021年第二批普通高中学生资助省级及州级资金下达表</w:t>
      </w:r>
      <w:bookmarkStart w:id="0" w:name="_GoBack"/>
      <w:bookmarkEnd w:id="0"/>
    </w:p>
    <w:p>
      <w:pPr>
        <w:ind w:left="1277" w:firstLine="320"/>
        <w:jc w:val="left"/>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2.项目绩效目标表</w:t>
      </w:r>
    </w:p>
    <w:p>
      <w:pPr>
        <w:keepNext w:val="0"/>
        <w:keepLines w:val="0"/>
        <w:pageBreakBefore w:val="0"/>
        <w:widowControl w:val="0"/>
        <w:spacing w:line="560" w:lineRule="exact"/>
        <w:ind w:right="0"/>
        <w:jc w:val="both"/>
        <w:outlineLvl w:val="9"/>
        <w:rPr>
          <w:rFonts w:ascii="Times New Roman" w:hAnsi="Times New Roman" w:eastAsia="方正仿宋_GBK" w:cs="Times New Roman"/>
          <w:sz w:val="32"/>
          <w:szCs w:val="32"/>
          <w:lang w:val="en-US" w:eastAsia="zh-CN"/>
        </w:rPr>
      </w:pPr>
    </w:p>
    <w:p>
      <w:pPr>
        <w:keepNext w:val="0"/>
        <w:keepLines w:val="0"/>
        <w:pageBreakBefore w:val="0"/>
        <w:widowControl w:val="0"/>
        <w:spacing w:line="560" w:lineRule="exact"/>
        <w:ind w:right="0"/>
        <w:jc w:val="both"/>
        <w:outlineLvl w:val="9"/>
        <w:rPr>
          <w:rFonts w:ascii="Times New Roman" w:hAnsi="Times New Roman" w:eastAsia="方正仿宋_GBK" w:cs="Times New Roman"/>
          <w:sz w:val="32"/>
          <w:szCs w:val="32"/>
          <w:lang w:val="en-US" w:eastAsia="zh-CN"/>
        </w:rPr>
      </w:pPr>
    </w:p>
    <w:p>
      <w:pPr>
        <w:keepNext w:val="0"/>
        <w:keepLines w:val="0"/>
        <w:pageBreakBefore w:val="0"/>
        <w:widowControl w:val="0"/>
        <w:spacing w:line="560" w:lineRule="exact"/>
        <w:ind w:right="0" w:firstLine="5440"/>
        <w:jc w:val="both"/>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 xml:space="preserve">梁河县财政局            </w:t>
      </w:r>
    </w:p>
    <w:p>
      <w:pPr>
        <w:keepNext w:val="0"/>
        <w:keepLines w:val="0"/>
        <w:pageBreakBefore w:val="0"/>
        <w:widowControl w:val="0"/>
        <w:spacing w:line="560" w:lineRule="exact"/>
        <w:ind w:right="0"/>
        <w:jc w:val="both"/>
        <w:outlineLvl w:val="9"/>
        <w:rPr>
          <w:rFonts w:ascii="Times New Roman" w:hAnsi="Times New Roman" w:eastAsia="方正仿宋_GBK" w:cs="Times New Roman"/>
          <w:sz w:val="32"/>
          <w:szCs w:val="32"/>
          <w:lang w:val="en-US" w:eastAsia="zh-CN"/>
        </w:rPr>
        <w:sectPr>
          <w:footerReference r:id="rId3" w:type="default"/>
          <w:pgSz w:w="11906" w:h="16838" w:orient="landscape"/>
          <w:pgMar w:top="1440" w:right="1800" w:bottom="1440" w:left="1800" w:header="851" w:footer="992" w:gutter="0"/>
          <w:cols w:space="1701" w:num="1"/>
        </w:sectPr>
      </w:pPr>
      <w:r>
        <w:rPr>
          <w:rFonts w:ascii="Times New Roman" w:hAnsi="Times New Roman" w:eastAsia="方正仿宋_GBK" w:cs="Times New Roman"/>
          <w:sz w:val="32"/>
          <w:szCs w:val="32"/>
          <w:lang w:val="en-US" w:eastAsia="zh-CN"/>
        </w:rPr>
        <w:t xml:space="preserve">                               2021年12月16日</w:t>
      </w:r>
    </w:p>
    <w:p>
      <w:pPr>
        <w:tabs>
          <w:tab w:val="left" w:pos="769"/>
        </w:tabs>
        <w:jc w:val="left"/>
        <w:rPr>
          <w:lang w:val="en-US" w:eastAsia="zh-CN"/>
        </w:rPr>
      </w:pPr>
    </w:p>
    <w:tbl>
      <w:tblPr>
        <w:tblStyle w:val="28"/>
        <w:tblW w:w="9102" w:type="dxa"/>
        <w:tblInd w:w="-1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15" w:type="dxa"/>
          <w:left w:w="15" w:type="dxa"/>
          <w:bottom w:w="0" w:type="dxa"/>
          <w:right w:w="15" w:type="dxa"/>
        </w:tblCellMar>
      </w:tblPr>
      <w:tblGrid>
        <w:gridCol w:w="1361"/>
        <w:gridCol w:w="690"/>
        <w:gridCol w:w="580"/>
        <w:gridCol w:w="472"/>
        <w:gridCol w:w="580"/>
        <w:gridCol w:w="580"/>
        <w:gridCol w:w="690"/>
        <w:gridCol w:w="580"/>
        <w:gridCol w:w="615"/>
        <w:gridCol w:w="580"/>
        <w:gridCol w:w="1430"/>
        <w:gridCol w:w="472"/>
        <w:gridCol w:w="47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5" w:type="dxa"/>
            <w:left w:w="15" w:type="dxa"/>
            <w:bottom w:w="0" w:type="dxa"/>
            <w:right w:w="15" w:type="dxa"/>
          </w:tblCellMar>
        </w:tblPrEx>
        <w:trPr>
          <w:trHeight w:val="535" w:hRule="atLeast"/>
        </w:trPr>
        <w:tc>
          <w:tcPr>
            <w:tcW w:w="1361" w:type="dxa"/>
            <w:noWrap w:val="0"/>
            <w:tcMar>
              <w:top w:w="15" w:type="dxa"/>
              <w:left w:w="15" w:type="dxa"/>
              <w:right w:w="15" w:type="dxa"/>
            </w:tcMar>
            <w:vAlign w:val="center"/>
          </w:tcPr>
          <w:p>
            <w:pPr>
              <w:keepNext w:val="0"/>
              <w:keepLines w:val="0"/>
              <w:widowControl/>
              <w:suppressLineNumbers w:val="0"/>
              <w:jc w:val="left"/>
              <w:rPr>
                <w:rFonts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sz w:val="22"/>
                <w:szCs w:val="22"/>
                <w:u w:val="none"/>
                <w:lang w:val="en-US" w:eastAsia="zh-CN" w:bidi="ar"/>
              </w:rPr>
              <w:t>附件1</w:t>
            </w:r>
          </w:p>
        </w:tc>
        <w:tc>
          <w:tcPr>
            <w:tcW w:w="690" w:type="dxa"/>
            <w:noWrap w:val="0"/>
            <w:tcMar>
              <w:top w:w="15" w:type="dxa"/>
              <w:left w:w="15" w:type="dxa"/>
              <w:right w:w="15" w:type="dxa"/>
            </w:tcMar>
            <w:vAlign w:val="center"/>
          </w:tcPr>
          <w:p>
            <w:pPr>
              <w:rPr>
                <w:rFonts w:hint="eastAsia" w:ascii="Arial" w:hAnsi="Arial" w:cs="Arial"/>
                <w:i w:val="0"/>
                <w:color w:val="000000"/>
                <w:sz w:val="20"/>
                <w:szCs w:val="20"/>
                <w:u w:val="none"/>
              </w:rPr>
            </w:pPr>
          </w:p>
        </w:tc>
        <w:tc>
          <w:tcPr>
            <w:tcW w:w="580" w:type="dxa"/>
            <w:noWrap w:val="0"/>
            <w:tcMar>
              <w:top w:w="15" w:type="dxa"/>
              <w:left w:w="15" w:type="dxa"/>
              <w:right w:w="15" w:type="dxa"/>
            </w:tcMar>
            <w:vAlign w:val="center"/>
          </w:tcPr>
          <w:p>
            <w:pPr>
              <w:rPr>
                <w:rFonts w:ascii="Arial" w:hAnsi="Arial" w:cs="Arial"/>
                <w:i w:val="0"/>
                <w:color w:val="000000"/>
                <w:sz w:val="20"/>
                <w:szCs w:val="20"/>
                <w:u w:val="none"/>
              </w:rPr>
            </w:pPr>
          </w:p>
        </w:tc>
        <w:tc>
          <w:tcPr>
            <w:tcW w:w="472" w:type="dxa"/>
            <w:noWrap w:val="0"/>
            <w:tcMar>
              <w:top w:w="15" w:type="dxa"/>
              <w:left w:w="15" w:type="dxa"/>
              <w:right w:w="15" w:type="dxa"/>
            </w:tcMar>
            <w:vAlign w:val="center"/>
          </w:tcPr>
          <w:p>
            <w:pPr>
              <w:rPr>
                <w:rFonts w:ascii="Arial" w:hAnsi="Arial" w:cs="Arial"/>
                <w:i w:val="0"/>
                <w:color w:val="000000"/>
                <w:sz w:val="20"/>
                <w:szCs w:val="20"/>
                <w:u w:val="none"/>
              </w:rPr>
            </w:pPr>
          </w:p>
        </w:tc>
        <w:tc>
          <w:tcPr>
            <w:tcW w:w="580" w:type="dxa"/>
            <w:noWrap w:val="0"/>
            <w:tcMar>
              <w:top w:w="15" w:type="dxa"/>
              <w:left w:w="15" w:type="dxa"/>
              <w:right w:w="15" w:type="dxa"/>
            </w:tcMar>
            <w:vAlign w:val="center"/>
          </w:tcPr>
          <w:p>
            <w:pPr>
              <w:rPr>
                <w:rFonts w:ascii="Arial" w:hAnsi="Arial" w:cs="Arial"/>
                <w:i w:val="0"/>
                <w:color w:val="000000"/>
                <w:sz w:val="20"/>
                <w:szCs w:val="20"/>
                <w:u w:val="none"/>
              </w:rPr>
            </w:pPr>
          </w:p>
        </w:tc>
        <w:tc>
          <w:tcPr>
            <w:tcW w:w="580" w:type="dxa"/>
            <w:noWrap w:val="0"/>
            <w:tcMar>
              <w:top w:w="15" w:type="dxa"/>
              <w:left w:w="15" w:type="dxa"/>
              <w:right w:w="15" w:type="dxa"/>
            </w:tcMar>
            <w:vAlign w:val="center"/>
          </w:tcPr>
          <w:p>
            <w:pPr>
              <w:rPr>
                <w:rFonts w:ascii="Arial" w:hAnsi="Arial" w:cs="Arial"/>
                <w:i w:val="0"/>
                <w:color w:val="000000"/>
                <w:sz w:val="20"/>
                <w:szCs w:val="20"/>
                <w:u w:val="none"/>
              </w:rPr>
            </w:pPr>
          </w:p>
        </w:tc>
        <w:tc>
          <w:tcPr>
            <w:tcW w:w="690" w:type="dxa"/>
            <w:noWrap w:val="0"/>
            <w:tcMar>
              <w:top w:w="15" w:type="dxa"/>
              <w:left w:w="15" w:type="dxa"/>
              <w:right w:w="15" w:type="dxa"/>
            </w:tcMar>
            <w:vAlign w:val="center"/>
          </w:tcPr>
          <w:p>
            <w:pPr>
              <w:rPr>
                <w:rFonts w:ascii="Arial" w:hAnsi="Arial" w:cs="Arial"/>
                <w:i w:val="0"/>
                <w:color w:val="000000"/>
                <w:sz w:val="20"/>
                <w:szCs w:val="20"/>
                <w:u w:val="none"/>
              </w:rPr>
            </w:pPr>
          </w:p>
        </w:tc>
        <w:tc>
          <w:tcPr>
            <w:tcW w:w="580" w:type="dxa"/>
            <w:noWrap w:val="0"/>
            <w:tcMar>
              <w:top w:w="15" w:type="dxa"/>
              <w:left w:w="15" w:type="dxa"/>
              <w:right w:w="15" w:type="dxa"/>
            </w:tcMar>
            <w:vAlign w:val="center"/>
          </w:tcPr>
          <w:p>
            <w:pPr>
              <w:rPr>
                <w:rFonts w:ascii="Arial" w:hAnsi="Arial" w:cs="Arial"/>
                <w:i w:val="0"/>
                <w:color w:val="000000"/>
                <w:sz w:val="20"/>
                <w:szCs w:val="20"/>
                <w:u w:val="none"/>
              </w:rPr>
            </w:pPr>
          </w:p>
        </w:tc>
        <w:tc>
          <w:tcPr>
            <w:tcW w:w="615" w:type="dxa"/>
            <w:noWrap w:val="0"/>
            <w:tcMar>
              <w:top w:w="15" w:type="dxa"/>
              <w:left w:w="15" w:type="dxa"/>
              <w:right w:w="15" w:type="dxa"/>
            </w:tcMar>
            <w:vAlign w:val="center"/>
          </w:tcPr>
          <w:p>
            <w:pPr>
              <w:rPr>
                <w:rFonts w:ascii="Arial" w:hAnsi="Arial" w:cs="Arial"/>
                <w:i w:val="0"/>
                <w:color w:val="000000"/>
                <w:sz w:val="20"/>
                <w:szCs w:val="20"/>
                <w:u w:val="none"/>
              </w:rPr>
            </w:pPr>
          </w:p>
        </w:tc>
        <w:tc>
          <w:tcPr>
            <w:tcW w:w="580" w:type="dxa"/>
            <w:noWrap w:val="0"/>
            <w:tcMar>
              <w:top w:w="15" w:type="dxa"/>
              <w:left w:w="15" w:type="dxa"/>
              <w:right w:w="15" w:type="dxa"/>
            </w:tcMar>
            <w:vAlign w:val="center"/>
          </w:tcPr>
          <w:p>
            <w:pPr>
              <w:rPr>
                <w:rFonts w:ascii="Arial" w:hAnsi="Arial" w:cs="Arial"/>
                <w:i w:val="0"/>
                <w:color w:val="000000"/>
                <w:sz w:val="20"/>
                <w:szCs w:val="20"/>
                <w:u w:val="none"/>
              </w:rPr>
            </w:pPr>
          </w:p>
        </w:tc>
        <w:tc>
          <w:tcPr>
            <w:tcW w:w="1430" w:type="dxa"/>
            <w:noWrap w:val="0"/>
            <w:tcMar>
              <w:top w:w="15" w:type="dxa"/>
              <w:left w:w="15" w:type="dxa"/>
              <w:right w:w="15" w:type="dxa"/>
            </w:tcMar>
            <w:vAlign w:val="center"/>
          </w:tcPr>
          <w:p>
            <w:pPr>
              <w:rPr>
                <w:rFonts w:ascii="Arial" w:hAnsi="Arial" w:cs="Arial"/>
                <w:i w:val="0"/>
                <w:color w:val="000000"/>
                <w:sz w:val="20"/>
                <w:szCs w:val="20"/>
                <w:u w:val="none"/>
              </w:rPr>
            </w:pPr>
          </w:p>
        </w:tc>
        <w:tc>
          <w:tcPr>
            <w:tcW w:w="472" w:type="dxa"/>
            <w:noWrap w:val="0"/>
            <w:tcMar>
              <w:top w:w="15" w:type="dxa"/>
              <w:left w:w="15" w:type="dxa"/>
              <w:right w:w="15" w:type="dxa"/>
            </w:tcMar>
            <w:vAlign w:val="center"/>
          </w:tcPr>
          <w:p>
            <w:pPr>
              <w:rPr>
                <w:rFonts w:ascii="Arial" w:hAnsi="Arial" w:cs="Arial"/>
                <w:i w:val="0"/>
                <w:color w:val="000000"/>
                <w:sz w:val="20"/>
                <w:szCs w:val="20"/>
                <w:u w:val="none"/>
              </w:rPr>
            </w:pPr>
          </w:p>
        </w:tc>
        <w:tc>
          <w:tcPr>
            <w:tcW w:w="472" w:type="dxa"/>
            <w:noWrap w:val="0"/>
            <w:tcMar>
              <w:top w:w="15" w:type="dxa"/>
              <w:left w:w="15" w:type="dxa"/>
              <w:right w:w="15" w:type="dxa"/>
            </w:tcMar>
            <w:vAlign w:val="center"/>
          </w:tcPr>
          <w:p>
            <w:pPr>
              <w:rPr>
                <w:rFonts w:ascii="Arial" w:hAnsi="Arial" w:cs="Arial"/>
                <w:i w:val="0"/>
                <w:color w:val="000000"/>
                <w:sz w:val="20"/>
                <w:szCs w:val="20"/>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5" w:type="dxa"/>
            <w:left w:w="15" w:type="dxa"/>
            <w:bottom w:w="0" w:type="dxa"/>
            <w:right w:w="15" w:type="dxa"/>
          </w:tblCellMar>
        </w:tblPrEx>
        <w:trPr>
          <w:trHeight w:val="1610" w:hRule="atLeast"/>
        </w:trPr>
        <w:tc>
          <w:tcPr>
            <w:tcW w:w="9102" w:type="dxa"/>
            <w:gridSpan w:val="13"/>
            <w:noWrap w:val="0"/>
            <w:tcMar>
              <w:top w:w="15" w:type="dxa"/>
              <w:left w:w="15" w:type="dxa"/>
              <w:right w:w="15" w:type="dxa"/>
            </w:tcMar>
            <w:vAlign w:val="center"/>
          </w:tcPr>
          <w:p>
            <w:pPr>
              <w:keepNext w:val="0"/>
              <w:keepLines w:val="0"/>
              <w:widowControl/>
              <w:suppressLineNumbers w:val="0"/>
              <w:jc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sz w:val="36"/>
                <w:szCs w:val="36"/>
                <w:u w:val="none"/>
                <w:lang w:val="en-US" w:eastAsia="zh-CN" w:bidi="ar"/>
              </w:rPr>
              <w:t>2021年第二批普通高中学生资助省级及州级资金下达表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5" w:type="dxa"/>
            <w:left w:w="15" w:type="dxa"/>
            <w:bottom w:w="0" w:type="dxa"/>
            <w:right w:w="15" w:type="dxa"/>
          </w:tblCellMar>
        </w:tblPrEx>
        <w:trPr>
          <w:trHeight w:val="737" w:hRule="atLeast"/>
        </w:trPr>
        <w:tc>
          <w:tcPr>
            <w:tcW w:w="1361" w:type="dxa"/>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90" w:type="dxa"/>
            <w:noWrap w:val="0"/>
            <w:tcMar>
              <w:top w:w="15" w:type="dxa"/>
              <w:left w:w="15" w:type="dxa"/>
              <w:right w:w="15" w:type="dxa"/>
            </w:tcMar>
            <w:vAlign w:val="center"/>
          </w:tcPr>
          <w:p>
            <w:pPr>
              <w:jc w:val="center"/>
              <w:rPr>
                <w:rFonts w:ascii="Arial" w:hAnsi="Arial" w:cs="Arial"/>
                <w:i w:val="0"/>
                <w:color w:val="000000"/>
                <w:sz w:val="20"/>
                <w:szCs w:val="20"/>
                <w:u w:val="none"/>
              </w:rPr>
            </w:pPr>
          </w:p>
        </w:tc>
        <w:tc>
          <w:tcPr>
            <w:tcW w:w="580" w:type="dxa"/>
            <w:noWrap w:val="0"/>
            <w:tcMar>
              <w:top w:w="15" w:type="dxa"/>
              <w:left w:w="15" w:type="dxa"/>
              <w:right w:w="15" w:type="dxa"/>
            </w:tcMar>
            <w:vAlign w:val="center"/>
          </w:tcPr>
          <w:p>
            <w:pPr>
              <w:jc w:val="center"/>
              <w:rPr>
                <w:rFonts w:ascii="Arial" w:hAnsi="Arial" w:cs="Arial"/>
                <w:i w:val="0"/>
                <w:color w:val="000000"/>
                <w:sz w:val="20"/>
                <w:szCs w:val="20"/>
                <w:u w:val="none"/>
              </w:rPr>
            </w:pPr>
          </w:p>
        </w:tc>
        <w:tc>
          <w:tcPr>
            <w:tcW w:w="472" w:type="dxa"/>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0" w:type="dxa"/>
            <w:noWrap w:val="0"/>
            <w:tcMar>
              <w:top w:w="15" w:type="dxa"/>
              <w:left w:w="15" w:type="dxa"/>
              <w:right w:w="15" w:type="dxa"/>
            </w:tcMar>
            <w:vAlign w:val="center"/>
          </w:tcPr>
          <w:p>
            <w:pPr>
              <w:rPr>
                <w:rFonts w:ascii="Arial" w:hAnsi="Arial" w:cs="Arial"/>
                <w:i w:val="0"/>
                <w:color w:val="000000"/>
                <w:sz w:val="20"/>
                <w:szCs w:val="20"/>
                <w:u w:val="none"/>
              </w:rPr>
            </w:pPr>
          </w:p>
        </w:tc>
        <w:tc>
          <w:tcPr>
            <w:tcW w:w="580" w:type="dxa"/>
            <w:noWrap w:val="0"/>
            <w:tcMar>
              <w:top w:w="15" w:type="dxa"/>
              <w:left w:w="15" w:type="dxa"/>
              <w:right w:w="15" w:type="dxa"/>
            </w:tcMar>
            <w:vAlign w:val="center"/>
          </w:tcPr>
          <w:p>
            <w:pPr>
              <w:rPr>
                <w:rFonts w:ascii="Arial" w:hAnsi="Arial" w:cs="Arial"/>
                <w:i w:val="0"/>
                <w:color w:val="000000"/>
                <w:sz w:val="20"/>
                <w:szCs w:val="20"/>
                <w:u w:val="none"/>
              </w:rPr>
            </w:pPr>
          </w:p>
        </w:tc>
        <w:tc>
          <w:tcPr>
            <w:tcW w:w="690" w:type="dxa"/>
            <w:noWrap w:val="0"/>
            <w:tcMar>
              <w:top w:w="15" w:type="dxa"/>
              <w:left w:w="15" w:type="dxa"/>
              <w:right w:w="15" w:type="dxa"/>
            </w:tcMar>
            <w:vAlign w:val="center"/>
          </w:tcPr>
          <w:p>
            <w:pPr>
              <w:rPr>
                <w:rFonts w:ascii="Arial" w:hAnsi="Arial" w:cs="Arial"/>
                <w:i w:val="0"/>
                <w:color w:val="000000"/>
                <w:sz w:val="20"/>
                <w:szCs w:val="20"/>
                <w:u w:val="none"/>
              </w:rPr>
            </w:pPr>
          </w:p>
        </w:tc>
        <w:tc>
          <w:tcPr>
            <w:tcW w:w="580" w:type="dxa"/>
            <w:noWrap w:val="0"/>
            <w:tcMar>
              <w:top w:w="15" w:type="dxa"/>
              <w:left w:w="15" w:type="dxa"/>
              <w:right w:w="15" w:type="dxa"/>
            </w:tcMar>
            <w:vAlign w:val="center"/>
          </w:tcPr>
          <w:p>
            <w:pPr>
              <w:rPr>
                <w:rFonts w:ascii="Arial" w:hAnsi="Arial" w:cs="Arial"/>
                <w:i w:val="0"/>
                <w:color w:val="000000"/>
                <w:sz w:val="20"/>
                <w:szCs w:val="20"/>
                <w:u w:val="none"/>
              </w:rPr>
            </w:pPr>
          </w:p>
        </w:tc>
        <w:tc>
          <w:tcPr>
            <w:tcW w:w="615" w:type="dxa"/>
            <w:noWrap w:val="0"/>
            <w:tcMar>
              <w:top w:w="15" w:type="dxa"/>
              <w:left w:w="15" w:type="dxa"/>
              <w:right w:w="15" w:type="dxa"/>
            </w:tcMar>
            <w:vAlign w:val="center"/>
          </w:tcPr>
          <w:p>
            <w:pPr>
              <w:rPr>
                <w:rFonts w:ascii="Arial" w:hAnsi="Arial" w:cs="Arial"/>
                <w:i w:val="0"/>
                <w:color w:val="000000"/>
                <w:sz w:val="20"/>
                <w:szCs w:val="20"/>
                <w:u w:val="none"/>
              </w:rPr>
            </w:pPr>
          </w:p>
        </w:tc>
        <w:tc>
          <w:tcPr>
            <w:tcW w:w="580" w:type="dxa"/>
            <w:noWrap w:val="0"/>
            <w:tcMar>
              <w:top w:w="15" w:type="dxa"/>
              <w:left w:w="15" w:type="dxa"/>
              <w:right w:w="15" w:type="dxa"/>
            </w:tcMar>
            <w:vAlign w:val="center"/>
          </w:tcPr>
          <w:p>
            <w:pPr>
              <w:rPr>
                <w:rFonts w:ascii="Arial" w:hAnsi="Arial" w:cs="Arial"/>
                <w:i w:val="0"/>
                <w:color w:val="000000"/>
                <w:sz w:val="20"/>
                <w:szCs w:val="20"/>
                <w:u w:val="none"/>
              </w:rPr>
            </w:pPr>
          </w:p>
        </w:tc>
        <w:tc>
          <w:tcPr>
            <w:tcW w:w="1430" w:type="dxa"/>
            <w:noWrap w:val="0"/>
            <w:tcMar>
              <w:top w:w="15" w:type="dxa"/>
              <w:left w:w="15" w:type="dxa"/>
              <w:right w:w="15" w:type="dxa"/>
            </w:tcMar>
            <w:vAlign w:val="center"/>
          </w:tcPr>
          <w:p>
            <w:pPr>
              <w:keepNext w:val="0"/>
              <w:keepLines w:val="0"/>
              <w:widowControl/>
              <w:suppressLineNumbers w:val="0"/>
              <w:jc w:val="left"/>
              <w:rPr>
                <w:rFonts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sz w:val="20"/>
                <w:szCs w:val="20"/>
                <w:u w:val="none"/>
                <w:lang w:val="en-US" w:eastAsia="zh-CN" w:bidi="ar"/>
              </w:rPr>
              <w:t>单位：人、万元</w:t>
            </w:r>
          </w:p>
        </w:tc>
        <w:tc>
          <w:tcPr>
            <w:tcW w:w="472" w:type="dxa"/>
            <w:noWrap w:val="0"/>
            <w:tcMar>
              <w:top w:w="15" w:type="dxa"/>
              <w:left w:w="15" w:type="dxa"/>
              <w:right w:w="15" w:type="dxa"/>
            </w:tcMar>
            <w:vAlign w:val="center"/>
          </w:tcPr>
          <w:p>
            <w:pPr>
              <w:rPr>
                <w:rFonts w:ascii="Arial" w:hAnsi="Arial" w:cs="Arial"/>
                <w:i w:val="0"/>
                <w:color w:val="000000"/>
                <w:sz w:val="20"/>
                <w:szCs w:val="20"/>
                <w:u w:val="none"/>
              </w:rPr>
            </w:pPr>
          </w:p>
        </w:tc>
        <w:tc>
          <w:tcPr>
            <w:tcW w:w="472" w:type="dxa"/>
            <w:noWrap w:val="0"/>
            <w:tcMar>
              <w:top w:w="15" w:type="dxa"/>
              <w:left w:w="15" w:type="dxa"/>
              <w:right w:w="15" w:type="dxa"/>
            </w:tcMar>
            <w:vAlign w:val="center"/>
          </w:tcPr>
          <w:p>
            <w:pPr>
              <w:rPr>
                <w:rFonts w:ascii="Arial" w:hAnsi="Arial" w:cs="Arial"/>
                <w:i w:val="0"/>
                <w:color w:val="000000"/>
                <w:sz w:val="20"/>
                <w:szCs w:val="20"/>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5" w:type="dxa"/>
            <w:left w:w="15" w:type="dxa"/>
            <w:bottom w:w="0" w:type="dxa"/>
            <w:right w:w="15" w:type="dxa"/>
          </w:tblCellMar>
        </w:tblPrEx>
        <w:trPr>
          <w:trHeight w:val="1142" w:hRule="atLeast"/>
        </w:trPr>
        <w:tc>
          <w:tcPr>
            <w:tcW w:w="1361" w:type="dxa"/>
            <w:vMerge w:val="restart"/>
            <w:shd w:val="clear" w:color="auto" w:fill="D9D9D9"/>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lang w:val="en-US" w:eastAsia="zh-CN" w:bidi="ar"/>
              </w:rPr>
              <w:t>县</w:t>
            </w:r>
          </w:p>
        </w:tc>
        <w:tc>
          <w:tcPr>
            <w:tcW w:w="2902" w:type="dxa"/>
            <w:gridSpan w:val="5"/>
            <w:shd w:val="clear" w:color="auto" w:fill="D9D9D9"/>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lang w:val="en-US" w:eastAsia="zh-CN" w:bidi="ar"/>
              </w:rPr>
              <w:t>全年应下达免学费</w:t>
            </w:r>
          </w:p>
        </w:tc>
        <w:tc>
          <w:tcPr>
            <w:tcW w:w="1885" w:type="dxa"/>
            <w:gridSpan w:val="3"/>
            <w:shd w:val="clear" w:color="auto" w:fill="D9D9D9"/>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lang w:val="en-US" w:eastAsia="zh-CN" w:bidi="ar"/>
              </w:rPr>
              <w:t>已下达金额</w:t>
            </w:r>
            <w:r>
              <w:rPr>
                <w:rFonts w:hint="eastAsia" w:ascii="宋体" w:hAnsi="宋体" w:eastAsia="宋体" w:cs="宋体"/>
                <w:b/>
                <w:i w:val="0"/>
                <w:color w:val="000000"/>
                <w:sz w:val="22"/>
                <w:szCs w:val="22"/>
                <w:u w:val="none"/>
                <w:lang w:val="en-US" w:eastAsia="zh-CN" w:bidi="ar"/>
              </w:rPr>
              <w:br w:type="textWrapping" w:clear="all"/>
            </w:r>
            <w:r>
              <w:rPr>
                <w:rFonts w:hint="eastAsia" w:ascii="宋体" w:hAnsi="宋体" w:eastAsia="宋体" w:cs="宋体"/>
                <w:b/>
                <w:i w:val="0"/>
                <w:color w:val="000000"/>
                <w:sz w:val="22"/>
                <w:szCs w:val="22"/>
                <w:u w:val="none"/>
                <w:lang w:val="en-US" w:eastAsia="zh-CN" w:bidi="ar"/>
              </w:rPr>
              <w:t>（德财教〔</w:t>
            </w:r>
            <w:r>
              <w:rPr>
                <w:rStyle w:val="203"/>
                <w:rFonts w:eastAsia="宋体"/>
                <w:lang w:val="en-US" w:eastAsia="zh-CN" w:bidi="ar"/>
              </w:rPr>
              <w:t>2021</w:t>
            </w:r>
            <w:r>
              <w:rPr>
                <w:rFonts w:hint="eastAsia" w:ascii="宋体" w:hAnsi="宋体" w:eastAsia="宋体" w:cs="宋体"/>
                <w:b/>
                <w:i w:val="0"/>
                <w:color w:val="000000"/>
                <w:sz w:val="22"/>
                <w:szCs w:val="22"/>
                <w:u w:val="none"/>
                <w:lang w:val="en-US" w:eastAsia="zh-CN" w:bidi="ar"/>
              </w:rPr>
              <w:t>〕</w:t>
            </w:r>
            <w:r>
              <w:rPr>
                <w:rStyle w:val="203"/>
                <w:rFonts w:eastAsia="宋体"/>
                <w:lang w:val="en-US" w:eastAsia="zh-CN" w:bidi="ar"/>
              </w:rPr>
              <w:t>11</w:t>
            </w:r>
            <w:r>
              <w:rPr>
                <w:rFonts w:hint="eastAsia" w:ascii="宋体" w:hAnsi="宋体" w:eastAsia="宋体" w:cs="宋体"/>
                <w:b/>
                <w:i w:val="0"/>
                <w:color w:val="000000"/>
                <w:sz w:val="22"/>
                <w:szCs w:val="22"/>
                <w:u w:val="none"/>
                <w:lang w:val="en-US" w:eastAsia="zh-CN" w:bidi="ar"/>
              </w:rPr>
              <w:t>、</w:t>
            </w:r>
            <w:r>
              <w:rPr>
                <w:rStyle w:val="203"/>
                <w:rFonts w:eastAsia="宋体"/>
                <w:lang w:val="en-US" w:eastAsia="zh-CN" w:bidi="ar"/>
              </w:rPr>
              <w:t>92</w:t>
            </w:r>
            <w:r>
              <w:rPr>
                <w:rFonts w:hint="eastAsia" w:ascii="宋体" w:hAnsi="宋体" w:eastAsia="宋体" w:cs="宋体"/>
                <w:b/>
                <w:i w:val="0"/>
                <w:color w:val="000000"/>
                <w:sz w:val="22"/>
                <w:szCs w:val="22"/>
                <w:u w:val="none"/>
                <w:lang w:val="en-US" w:eastAsia="zh-CN" w:bidi="ar"/>
              </w:rPr>
              <w:t>号）</w:t>
            </w:r>
          </w:p>
        </w:tc>
        <w:tc>
          <w:tcPr>
            <w:tcW w:w="2482" w:type="dxa"/>
            <w:gridSpan w:val="3"/>
            <w:shd w:val="clear" w:color="auto" w:fill="D9D9D9"/>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lang w:val="en-US" w:eastAsia="zh-CN" w:bidi="ar"/>
              </w:rPr>
              <w:t>本次下达金额</w:t>
            </w:r>
          </w:p>
        </w:tc>
        <w:tc>
          <w:tcPr>
            <w:tcW w:w="472" w:type="dxa"/>
            <w:vMerge w:val="restart"/>
            <w:shd w:val="clear" w:color="auto" w:fill="D9D9D9"/>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lang w:val="en-US" w:eastAsia="zh-CN" w:bidi="ar"/>
              </w:rPr>
              <w:t>备注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5" w:type="dxa"/>
            <w:left w:w="15" w:type="dxa"/>
            <w:bottom w:w="0" w:type="dxa"/>
            <w:right w:w="15" w:type="dxa"/>
          </w:tblCellMar>
        </w:tblPrEx>
        <w:trPr>
          <w:trHeight w:val="804" w:hRule="atLeast"/>
        </w:trPr>
        <w:tc>
          <w:tcPr>
            <w:tcW w:w="1361" w:type="dxa"/>
            <w:vMerge w:val="continue"/>
            <w:shd w:val="clear" w:color="auto" w:fill="D9D9D9"/>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690" w:type="dxa"/>
            <w:shd w:val="clear" w:color="auto" w:fill="D9D9D9"/>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lang w:val="en-US" w:eastAsia="zh-CN" w:bidi="ar"/>
              </w:rPr>
              <w:t>小计</w:t>
            </w:r>
          </w:p>
        </w:tc>
        <w:tc>
          <w:tcPr>
            <w:tcW w:w="580" w:type="dxa"/>
            <w:shd w:val="clear" w:color="auto" w:fill="D9D9D9"/>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lang w:val="en-US" w:eastAsia="zh-CN" w:bidi="ar"/>
              </w:rPr>
              <w:t>中央</w:t>
            </w:r>
          </w:p>
        </w:tc>
        <w:tc>
          <w:tcPr>
            <w:tcW w:w="472" w:type="dxa"/>
            <w:shd w:val="clear" w:color="auto" w:fill="D9D9D9"/>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lang w:val="en-US" w:eastAsia="zh-CN" w:bidi="ar"/>
              </w:rPr>
              <w:t>省级</w:t>
            </w:r>
          </w:p>
        </w:tc>
        <w:tc>
          <w:tcPr>
            <w:tcW w:w="580" w:type="dxa"/>
            <w:shd w:val="clear" w:color="auto" w:fill="D9D9D9"/>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lang w:val="en-US" w:eastAsia="zh-CN" w:bidi="ar"/>
              </w:rPr>
              <w:t>州级</w:t>
            </w:r>
          </w:p>
        </w:tc>
        <w:tc>
          <w:tcPr>
            <w:tcW w:w="580" w:type="dxa"/>
            <w:shd w:val="clear" w:color="auto" w:fill="D9D9D9"/>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lang w:val="en-US" w:eastAsia="zh-CN" w:bidi="ar"/>
              </w:rPr>
              <w:t>县级</w:t>
            </w:r>
          </w:p>
        </w:tc>
        <w:tc>
          <w:tcPr>
            <w:tcW w:w="690" w:type="dxa"/>
            <w:shd w:val="clear" w:color="auto" w:fill="D9D9D9"/>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lang w:val="en-US" w:eastAsia="zh-CN" w:bidi="ar"/>
              </w:rPr>
              <w:t>小计</w:t>
            </w:r>
          </w:p>
        </w:tc>
        <w:tc>
          <w:tcPr>
            <w:tcW w:w="580" w:type="dxa"/>
            <w:shd w:val="clear" w:color="auto" w:fill="D9D9D9"/>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lang w:val="en-US" w:eastAsia="zh-CN" w:bidi="ar"/>
              </w:rPr>
              <w:t>中央</w:t>
            </w:r>
          </w:p>
        </w:tc>
        <w:tc>
          <w:tcPr>
            <w:tcW w:w="615" w:type="dxa"/>
            <w:shd w:val="clear" w:color="auto" w:fill="D9D9D9"/>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lang w:val="en-US" w:eastAsia="zh-CN" w:bidi="ar"/>
              </w:rPr>
              <w:t>省级</w:t>
            </w:r>
          </w:p>
        </w:tc>
        <w:tc>
          <w:tcPr>
            <w:tcW w:w="580" w:type="dxa"/>
            <w:shd w:val="clear" w:color="auto" w:fill="D9D9D9"/>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lang w:val="en-US" w:eastAsia="zh-CN" w:bidi="ar"/>
              </w:rPr>
              <w:t>合计</w:t>
            </w:r>
          </w:p>
        </w:tc>
        <w:tc>
          <w:tcPr>
            <w:tcW w:w="1430" w:type="dxa"/>
            <w:shd w:val="clear" w:color="auto" w:fill="D9D9D9"/>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lang w:val="en-US" w:eastAsia="zh-CN" w:bidi="ar"/>
              </w:rPr>
              <w:t>省级</w:t>
            </w:r>
          </w:p>
        </w:tc>
        <w:tc>
          <w:tcPr>
            <w:tcW w:w="472" w:type="dxa"/>
            <w:shd w:val="clear" w:color="auto" w:fill="D9D9D9"/>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lang w:val="en-US" w:eastAsia="zh-CN" w:bidi="ar"/>
              </w:rPr>
              <w:t>州级</w:t>
            </w:r>
          </w:p>
        </w:tc>
        <w:tc>
          <w:tcPr>
            <w:tcW w:w="472" w:type="dxa"/>
            <w:vMerge w:val="continue"/>
            <w:shd w:val="clear" w:color="auto" w:fill="D9D9D9"/>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5" w:type="dxa"/>
            <w:left w:w="15" w:type="dxa"/>
            <w:bottom w:w="0" w:type="dxa"/>
            <w:right w:w="15" w:type="dxa"/>
          </w:tblCellMar>
        </w:tblPrEx>
        <w:trPr>
          <w:trHeight w:val="1055" w:hRule="atLeast"/>
        </w:trPr>
        <w:tc>
          <w:tcPr>
            <w:tcW w:w="1361" w:type="dxa"/>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梁河县</w:t>
            </w:r>
          </w:p>
        </w:tc>
        <w:tc>
          <w:tcPr>
            <w:tcW w:w="690"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 xml:space="preserve">82.940 </w:t>
            </w:r>
          </w:p>
        </w:tc>
        <w:tc>
          <w:tcPr>
            <w:tcW w:w="580"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 xml:space="preserve">66.35 </w:t>
            </w:r>
          </w:p>
        </w:tc>
        <w:tc>
          <w:tcPr>
            <w:tcW w:w="472"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14.1</w:t>
            </w:r>
          </w:p>
        </w:tc>
        <w:tc>
          <w:tcPr>
            <w:tcW w:w="580"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 xml:space="preserve">1.245 </w:t>
            </w:r>
          </w:p>
        </w:tc>
        <w:tc>
          <w:tcPr>
            <w:tcW w:w="580"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 xml:space="preserve">1.245 </w:t>
            </w:r>
          </w:p>
        </w:tc>
        <w:tc>
          <w:tcPr>
            <w:tcW w:w="690"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 xml:space="preserve">75.820 </w:t>
            </w:r>
          </w:p>
        </w:tc>
        <w:tc>
          <w:tcPr>
            <w:tcW w:w="580"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66.35</w:t>
            </w:r>
          </w:p>
        </w:tc>
        <w:tc>
          <w:tcPr>
            <w:tcW w:w="615"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9.47</w:t>
            </w:r>
          </w:p>
        </w:tc>
        <w:tc>
          <w:tcPr>
            <w:tcW w:w="580"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 xml:space="preserve">5.875 </w:t>
            </w:r>
          </w:p>
        </w:tc>
        <w:tc>
          <w:tcPr>
            <w:tcW w:w="1430"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4.63</w:t>
            </w:r>
          </w:p>
        </w:tc>
        <w:tc>
          <w:tcPr>
            <w:tcW w:w="472"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 xml:space="preserve">1.25 </w:t>
            </w:r>
          </w:p>
        </w:tc>
        <w:tc>
          <w:tcPr>
            <w:tcW w:w="472" w:type="dxa"/>
            <w:noWrap w:val="0"/>
            <w:tcMar>
              <w:top w:w="15" w:type="dxa"/>
              <w:left w:w="15" w:type="dxa"/>
              <w:right w:w="15" w:type="dxa"/>
            </w:tcMar>
            <w:vAlign w:val="center"/>
          </w:tcPr>
          <w:p>
            <w:pPr>
              <w:rPr>
                <w:rFonts w:ascii="Times New Roman" w:hAnsi="Times New Roman" w:cs="Times New Roman"/>
                <w:i w:val="0"/>
                <w:color w:val="000000"/>
                <w:sz w:val="22"/>
                <w:szCs w:val="22"/>
                <w:u w:val="none"/>
              </w:rPr>
            </w:pPr>
          </w:p>
        </w:tc>
      </w:tr>
    </w:tbl>
    <w:p>
      <w:pPr>
        <w:tabs>
          <w:tab w:val="left" w:pos="769"/>
        </w:tabs>
        <w:jc w:val="left"/>
        <w:rPr>
          <w:lang w:val="en-US" w:eastAsia="zh-CN"/>
        </w:rPr>
      </w:pPr>
    </w:p>
    <w:p>
      <w:pPr>
        <w:tabs>
          <w:tab w:val="left" w:pos="769"/>
        </w:tabs>
        <w:jc w:val="left"/>
        <w:rPr>
          <w:lang w:val="en-US" w:eastAsia="zh-CN"/>
        </w:rPr>
      </w:pPr>
    </w:p>
    <w:p>
      <w:pPr>
        <w:tabs>
          <w:tab w:val="left" w:pos="769"/>
        </w:tabs>
        <w:jc w:val="left"/>
        <w:rPr>
          <w:lang w:val="en-US" w:eastAsia="zh-CN"/>
        </w:rPr>
      </w:pPr>
    </w:p>
    <w:p>
      <w:pPr>
        <w:tabs>
          <w:tab w:val="left" w:pos="769"/>
        </w:tabs>
        <w:jc w:val="left"/>
        <w:rPr>
          <w:lang w:val="en-US" w:eastAsia="zh-CN"/>
        </w:rPr>
      </w:pPr>
    </w:p>
    <w:p>
      <w:pPr>
        <w:tabs>
          <w:tab w:val="left" w:pos="769"/>
        </w:tabs>
        <w:jc w:val="left"/>
        <w:rPr>
          <w:lang w:val="en-US" w:eastAsia="zh-CN"/>
        </w:rPr>
      </w:pPr>
    </w:p>
    <w:p>
      <w:pPr>
        <w:tabs>
          <w:tab w:val="left" w:pos="769"/>
        </w:tabs>
        <w:jc w:val="left"/>
        <w:rPr>
          <w:lang w:val="en-US" w:eastAsia="zh-CN"/>
        </w:rPr>
      </w:pPr>
    </w:p>
    <w:p>
      <w:pPr>
        <w:tabs>
          <w:tab w:val="left" w:pos="769"/>
        </w:tabs>
        <w:jc w:val="left"/>
        <w:rPr>
          <w:lang w:val="en-US" w:eastAsia="zh-CN"/>
        </w:rPr>
      </w:pPr>
    </w:p>
    <w:p>
      <w:pPr>
        <w:tabs>
          <w:tab w:val="left" w:pos="769"/>
        </w:tabs>
        <w:jc w:val="left"/>
        <w:rPr>
          <w:lang w:val="en-US" w:eastAsia="zh-CN"/>
        </w:rPr>
      </w:pPr>
    </w:p>
    <w:p>
      <w:pPr>
        <w:tabs>
          <w:tab w:val="left" w:pos="769"/>
        </w:tabs>
        <w:jc w:val="left"/>
        <w:rPr>
          <w:lang w:val="en-US" w:eastAsia="zh-CN"/>
        </w:rPr>
      </w:pPr>
    </w:p>
    <w:p>
      <w:pPr>
        <w:tabs>
          <w:tab w:val="left" w:pos="769"/>
        </w:tabs>
        <w:jc w:val="left"/>
        <w:rPr>
          <w:lang w:val="en-US" w:eastAsia="zh-CN"/>
        </w:rPr>
      </w:pPr>
    </w:p>
    <w:p>
      <w:pPr>
        <w:tabs>
          <w:tab w:val="left" w:pos="769"/>
        </w:tabs>
        <w:jc w:val="left"/>
        <w:rPr>
          <w:lang w:val="en-US" w:eastAsia="zh-CN"/>
        </w:rPr>
      </w:pPr>
    </w:p>
    <w:p>
      <w:pPr>
        <w:tabs>
          <w:tab w:val="left" w:pos="769"/>
        </w:tabs>
        <w:jc w:val="left"/>
        <w:rPr>
          <w:lang w:val="en-US" w:eastAsia="zh-CN"/>
        </w:rPr>
      </w:pPr>
    </w:p>
    <w:p>
      <w:pPr>
        <w:jc w:val="left"/>
        <w:rPr>
          <w:lang w:val="en-US" w:eastAsia="zh-CN"/>
        </w:rPr>
        <w:sectPr>
          <w:pgSz w:w="11906" w:h="16838" w:orient="landscape"/>
          <w:pgMar w:top="1440" w:right="1803" w:bottom="1440" w:left="1803" w:header="851" w:footer="992" w:gutter="0"/>
          <w:cols w:space="1701" w:num="1"/>
        </w:sectPr>
      </w:pPr>
    </w:p>
    <w:p>
      <w:pPr>
        <w:tabs>
          <w:tab w:val="left" w:pos="1324"/>
        </w:tabs>
        <w:jc w:val="left"/>
        <w:rPr>
          <w:lang w:val="en-US" w:eastAsia="zh-CN"/>
        </w:rPr>
      </w:pPr>
    </w:p>
    <w:tbl>
      <w:tblPr>
        <w:tblStyle w:val="28"/>
        <w:tblW w:w="10425" w:type="dxa"/>
        <w:tblInd w:w="-109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15" w:type="dxa"/>
          <w:left w:w="15" w:type="dxa"/>
          <w:bottom w:w="0" w:type="dxa"/>
          <w:right w:w="15" w:type="dxa"/>
        </w:tblCellMar>
      </w:tblPr>
      <w:tblGrid>
        <w:gridCol w:w="1335"/>
        <w:gridCol w:w="1140"/>
        <w:gridCol w:w="1565"/>
        <w:gridCol w:w="2380"/>
        <w:gridCol w:w="400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5" w:type="dxa"/>
            <w:left w:w="15" w:type="dxa"/>
            <w:bottom w:w="0" w:type="dxa"/>
            <w:right w:w="15" w:type="dxa"/>
          </w:tblCellMar>
        </w:tblPrEx>
        <w:trPr>
          <w:trHeight w:val="206" w:hRule="atLeast"/>
        </w:trPr>
        <w:tc>
          <w:tcPr>
            <w:tcW w:w="10425" w:type="dxa"/>
            <w:gridSpan w:val="5"/>
            <w:noWrap w:val="0"/>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方正黑体_GBK" w:hAnsi="方正黑体_GBK" w:eastAsia="方正黑体_GBK" w:cs="方正黑体_GBK"/>
                <w:i w:val="0"/>
                <w:color w:val="000000"/>
                <w:sz w:val="22"/>
                <w:szCs w:val="22"/>
                <w:u w:val="none"/>
                <w:lang w:val="en-US" w:eastAsia="zh-CN" w:bidi="ar"/>
              </w:rPr>
              <w:t>附件2</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5" w:type="dxa"/>
            <w:left w:w="15" w:type="dxa"/>
            <w:bottom w:w="0" w:type="dxa"/>
            <w:right w:w="15" w:type="dxa"/>
          </w:tblCellMar>
        </w:tblPrEx>
        <w:trPr>
          <w:trHeight w:val="186" w:hRule="atLeast"/>
        </w:trPr>
        <w:tc>
          <w:tcPr>
            <w:tcW w:w="10425" w:type="dxa"/>
            <w:gridSpan w:val="5"/>
            <w:noWrap w:val="0"/>
            <w:tcMar>
              <w:top w:w="15" w:type="dxa"/>
              <w:left w:w="15" w:type="dxa"/>
              <w:right w:w="15" w:type="dxa"/>
            </w:tcMar>
            <w:vAlign w:val="center"/>
          </w:tcPr>
          <w:p>
            <w:pPr>
              <w:keepNext w:val="0"/>
              <w:keepLines w:val="0"/>
              <w:widowControl/>
              <w:suppressLineNumbers w:val="0"/>
              <w:jc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sz w:val="44"/>
                <w:szCs w:val="44"/>
                <w:u w:val="none"/>
                <w:lang w:val="en-US" w:eastAsia="zh-CN" w:bidi="ar"/>
              </w:rPr>
              <w:t>项目绩效目标表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5" w:type="dxa"/>
            <w:left w:w="15" w:type="dxa"/>
            <w:bottom w:w="0" w:type="dxa"/>
            <w:right w:w="15" w:type="dxa"/>
          </w:tblCellMar>
        </w:tblPrEx>
        <w:trPr>
          <w:trHeight w:val="402" w:hRule="atLeast"/>
        </w:trPr>
        <w:tc>
          <w:tcPr>
            <w:tcW w:w="1335" w:type="dxa"/>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lang w:val="en-US" w:eastAsia="zh-CN" w:bidi="ar"/>
              </w:rPr>
              <w:t>项目名称：</w:t>
            </w:r>
          </w:p>
        </w:tc>
        <w:tc>
          <w:tcPr>
            <w:tcW w:w="9090" w:type="dxa"/>
            <w:gridSpan w:val="4"/>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2021年普通高中学生资金补助资金（省级资金）</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5" w:type="dxa"/>
            <w:left w:w="15" w:type="dxa"/>
            <w:bottom w:w="0" w:type="dxa"/>
            <w:right w:w="15" w:type="dxa"/>
          </w:tblCellMar>
        </w:tblPrEx>
        <w:trPr>
          <w:trHeight w:val="492" w:hRule="atLeast"/>
        </w:trPr>
        <w:tc>
          <w:tcPr>
            <w:tcW w:w="4040" w:type="dxa"/>
            <w:gridSpan w:val="3"/>
            <w:vMerge w:val="restart"/>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lang w:val="en-US" w:eastAsia="zh-CN" w:bidi="ar"/>
              </w:rPr>
              <w:t>项目年度目标</w:t>
            </w:r>
          </w:p>
        </w:tc>
        <w:tc>
          <w:tcPr>
            <w:tcW w:w="6385" w:type="dxa"/>
            <w:gridSpan w:val="2"/>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目标1：普通高中阶段教育各项国家资助政策按规定得到落实</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5" w:type="dxa"/>
            <w:left w:w="15" w:type="dxa"/>
            <w:bottom w:w="0" w:type="dxa"/>
            <w:right w:w="15" w:type="dxa"/>
          </w:tblCellMar>
        </w:tblPrEx>
        <w:trPr>
          <w:trHeight w:val="222" w:hRule="atLeast"/>
        </w:trPr>
        <w:tc>
          <w:tcPr>
            <w:tcW w:w="4040" w:type="dxa"/>
            <w:gridSpan w:val="3"/>
            <w:vMerge w:val="continue"/>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6385" w:type="dxa"/>
            <w:gridSpan w:val="2"/>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目标2：满足家庭经济困难学生基本学习生活需要；其中国家助学金学生资助政策，对普通高中家庭经济困难在校学生，尤其是建档立卡学生发放国家助学金，确保家庭经济困难学生就学。</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5" w:type="dxa"/>
            <w:left w:w="15" w:type="dxa"/>
            <w:bottom w:w="0" w:type="dxa"/>
            <w:right w:w="15" w:type="dxa"/>
          </w:tblCellMar>
        </w:tblPrEx>
        <w:trPr>
          <w:trHeight w:val="357" w:hRule="atLeast"/>
        </w:trPr>
        <w:tc>
          <w:tcPr>
            <w:tcW w:w="4040" w:type="dxa"/>
            <w:gridSpan w:val="3"/>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lang w:val="en-US" w:eastAsia="zh-CN" w:bidi="ar"/>
              </w:rPr>
              <w:t>年度目标任务</w:t>
            </w:r>
          </w:p>
        </w:tc>
        <w:tc>
          <w:tcPr>
            <w:tcW w:w="2380"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lang w:val="en-US" w:eastAsia="zh-CN" w:bidi="ar"/>
              </w:rPr>
              <w:t>本次下达目标小计</w:t>
            </w:r>
          </w:p>
        </w:tc>
        <w:tc>
          <w:tcPr>
            <w:tcW w:w="4005"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lang w:val="en-US" w:eastAsia="zh-CN" w:bidi="ar"/>
              </w:rPr>
              <w:t>县（市）目标任务</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5" w:type="dxa"/>
            <w:left w:w="15" w:type="dxa"/>
            <w:bottom w:w="0" w:type="dxa"/>
            <w:right w:w="15" w:type="dxa"/>
          </w:tblCellMar>
        </w:tblPrEx>
        <w:trPr>
          <w:trHeight w:val="628" w:hRule="atLeast"/>
        </w:trPr>
        <w:tc>
          <w:tcPr>
            <w:tcW w:w="1335"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lang w:val="en-US" w:eastAsia="zh-CN" w:bidi="ar"/>
              </w:rPr>
              <w:t>一级指标</w:t>
            </w:r>
          </w:p>
        </w:tc>
        <w:tc>
          <w:tcPr>
            <w:tcW w:w="1140"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lang w:val="en-US" w:eastAsia="zh-CN" w:bidi="ar"/>
              </w:rPr>
              <w:t>二级指标</w:t>
            </w:r>
          </w:p>
        </w:tc>
        <w:tc>
          <w:tcPr>
            <w:tcW w:w="1565"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lang w:val="en-US" w:eastAsia="zh-CN" w:bidi="ar"/>
              </w:rPr>
              <w:t>三级指标</w:t>
            </w:r>
          </w:p>
        </w:tc>
        <w:tc>
          <w:tcPr>
            <w:tcW w:w="2380"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lang w:val="en-US" w:eastAsia="zh-CN" w:bidi="ar"/>
              </w:rPr>
              <w:t>指标值</w:t>
            </w:r>
          </w:p>
        </w:tc>
        <w:tc>
          <w:tcPr>
            <w:tcW w:w="4005"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lang w:val="en-US" w:eastAsia="zh-CN" w:bidi="ar"/>
              </w:rPr>
              <w:t>梁河县</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5" w:type="dxa"/>
            <w:left w:w="15" w:type="dxa"/>
            <w:bottom w:w="0" w:type="dxa"/>
            <w:right w:w="15" w:type="dxa"/>
          </w:tblCellMar>
        </w:tblPrEx>
        <w:trPr>
          <w:trHeight w:val="447" w:hRule="atLeast"/>
        </w:trPr>
        <w:tc>
          <w:tcPr>
            <w:tcW w:w="1335" w:type="dxa"/>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产出指标</w:t>
            </w:r>
          </w:p>
        </w:tc>
        <w:tc>
          <w:tcPr>
            <w:tcW w:w="1140" w:type="dxa"/>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数量指标</w:t>
            </w:r>
          </w:p>
        </w:tc>
        <w:tc>
          <w:tcPr>
            <w:tcW w:w="1565" w:type="dxa"/>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普通高中国家助学金应受助学生受助比例</w:t>
            </w:r>
          </w:p>
        </w:tc>
        <w:tc>
          <w:tcPr>
            <w:tcW w:w="2380"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100%</w:t>
            </w:r>
          </w:p>
        </w:tc>
        <w:tc>
          <w:tcPr>
            <w:tcW w:w="4005"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100%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5" w:type="dxa"/>
            <w:left w:w="15" w:type="dxa"/>
            <w:bottom w:w="0" w:type="dxa"/>
            <w:right w:w="15" w:type="dxa"/>
          </w:tblCellMar>
        </w:tblPrEx>
        <w:trPr>
          <w:trHeight w:val="252" w:hRule="atLeast"/>
        </w:trPr>
        <w:tc>
          <w:tcPr>
            <w:tcW w:w="1335" w:type="dxa"/>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产出指标</w:t>
            </w:r>
          </w:p>
        </w:tc>
        <w:tc>
          <w:tcPr>
            <w:tcW w:w="1140" w:type="dxa"/>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数量指标</w:t>
            </w:r>
          </w:p>
        </w:tc>
        <w:tc>
          <w:tcPr>
            <w:tcW w:w="1565" w:type="dxa"/>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普通高中免学杂费应受助学生受助比例</w:t>
            </w:r>
          </w:p>
        </w:tc>
        <w:tc>
          <w:tcPr>
            <w:tcW w:w="2380"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100%</w:t>
            </w:r>
          </w:p>
        </w:tc>
        <w:tc>
          <w:tcPr>
            <w:tcW w:w="4005"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100%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5" w:type="dxa"/>
            <w:left w:w="15" w:type="dxa"/>
            <w:bottom w:w="0" w:type="dxa"/>
            <w:right w:w="15" w:type="dxa"/>
          </w:tblCellMar>
        </w:tblPrEx>
        <w:trPr>
          <w:trHeight w:val="252" w:hRule="atLeast"/>
        </w:trPr>
        <w:tc>
          <w:tcPr>
            <w:tcW w:w="1335" w:type="dxa"/>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产出指标</w:t>
            </w:r>
          </w:p>
        </w:tc>
        <w:tc>
          <w:tcPr>
            <w:tcW w:w="1140" w:type="dxa"/>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质量指标</w:t>
            </w:r>
          </w:p>
        </w:tc>
        <w:tc>
          <w:tcPr>
            <w:tcW w:w="1565" w:type="dxa"/>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高中阶段职普比</w:t>
            </w:r>
          </w:p>
        </w:tc>
        <w:tc>
          <w:tcPr>
            <w:tcW w:w="2380"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大体相当</w:t>
            </w:r>
          </w:p>
        </w:tc>
        <w:tc>
          <w:tcPr>
            <w:tcW w:w="4005"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大体相当</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5" w:type="dxa"/>
            <w:left w:w="15" w:type="dxa"/>
            <w:bottom w:w="0" w:type="dxa"/>
            <w:right w:w="15" w:type="dxa"/>
          </w:tblCellMar>
        </w:tblPrEx>
        <w:trPr>
          <w:trHeight w:val="90" w:hRule="atLeast"/>
        </w:trPr>
        <w:tc>
          <w:tcPr>
            <w:tcW w:w="1335" w:type="dxa"/>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产出指标</w:t>
            </w:r>
          </w:p>
        </w:tc>
        <w:tc>
          <w:tcPr>
            <w:tcW w:w="1140" w:type="dxa"/>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质量指标</w:t>
            </w:r>
          </w:p>
        </w:tc>
        <w:tc>
          <w:tcPr>
            <w:tcW w:w="1565" w:type="dxa"/>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全国学生资助系统运用达标率</w:t>
            </w:r>
          </w:p>
        </w:tc>
        <w:tc>
          <w:tcPr>
            <w:tcW w:w="2380"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≧90%</w:t>
            </w:r>
          </w:p>
        </w:tc>
        <w:tc>
          <w:tcPr>
            <w:tcW w:w="4005"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≧90%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5" w:type="dxa"/>
            <w:left w:w="15" w:type="dxa"/>
            <w:bottom w:w="0" w:type="dxa"/>
            <w:right w:w="15" w:type="dxa"/>
          </w:tblCellMar>
        </w:tblPrEx>
        <w:trPr>
          <w:trHeight w:val="267" w:hRule="atLeast"/>
        </w:trPr>
        <w:tc>
          <w:tcPr>
            <w:tcW w:w="1335" w:type="dxa"/>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产出指标</w:t>
            </w:r>
          </w:p>
        </w:tc>
        <w:tc>
          <w:tcPr>
            <w:tcW w:w="1140" w:type="dxa"/>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时效指标</w:t>
            </w:r>
          </w:p>
        </w:tc>
        <w:tc>
          <w:tcPr>
            <w:tcW w:w="1565" w:type="dxa"/>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助学金按规定及时发放率</w:t>
            </w:r>
          </w:p>
        </w:tc>
        <w:tc>
          <w:tcPr>
            <w:tcW w:w="2380"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100%</w:t>
            </w:r>
          </w:p>
        </w:tc>
        <w:tc>
          <w:tcPr>
            <w:tcW w:w="4005"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100%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5" w:type="dxa"/>
            <w:left w:w="15" w:type="dxa"/>
            <w:bottom w:w="0" w:type="dxa"/>
            <w:right w:w="15" w:type="dxa"/>
          </w:tblCellMar>
        </w:tblPrEx>
        <w:trPr>
          <w:trHeight w:val="207" w:hRule="atLeast"/>
        </w:trPr>
        <w:tc>
          <w:tcPr>
            <w:tcW w:w="1335" w:type="dxa"/>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效益指标</w:t>
            </w:r>
          </w:p>
        </w:tc>
        <w:tc>
          <w:tcPr>
            <w:tcW w:w="1140" w:type="dxa"/>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社会效益指标</w:t>
            </w:r>
          </w:p>
        </w:tc>
        <w:tc>
          <w:tcPr>
            <w:tcW w:w="1565" w:type="dxa"/>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补助对象政策的知晓度</w:t>
            </w:r>
          </w:p>
        </w:tc>
        <w:tc>
          <w:tcPr>
            <w:tcW w:w="2380"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≧85%</w:t>
            </w:r>
          </w:p>
        </w:tc>
        <w:tc>
          <w:tcPr>
            <w:tcW w:w="4005"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≧85%</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5" w:type="dxa"/>
            <w:left w:w="15" w:type="dxa"/>
            <w:bottom w:w="0" w:type="dxa"/>
            <w:right w:w="15" w:type="dxa"/>
          </w:tblCellMar>
        </w:tblPrEx>
        <w:trPr>
          <w:trHeight w:val="312" w:hRule="atLeast"/>
        </w:trPr>
        <w:tc>
          <w:tcPr>
            <w:tcW w:w="1335" w:type="dxa"/>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效益指标</w:t>
            </w:r>
          </w:p>
        </w:tc>
        <w:tc>
          <w:tcPr>
            <w:tcW w:w="1140" w:type="dxa"/>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可持续影响指标</w:t>
            </w:r>
          </w:p>
        </w:tc>
        <w:tc>
          <w:tcPr>
            <w:tcW w:w="1565" w:type="dxa"/>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普通高中资助年限</w:t>
            </w:r>
          </w:p>
        </w:tc>
        <w:tc>
          <w:tcPr>
            <w:tcW w:w="2380"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≦3年</w:t>
            </w:r>
          </w:p>
        </w:tc>
        <w:tc>
          <w:tcPr>
            <w:tcW w:w="4005"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≦3年</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5" w:type="dxa"/>
            <w:left w:w="15" w:type="dxa"/>
            <w:bottom w:w="0" w:type="dxa"/>
            <w:right w:w="15" w:type="dxa"/>
          </w:tblCellMar>
        </w:tblPrEx>
        <w:trPr>
          <w:trHeight w:val="90" w:hRule="atLeast"/>
        </w:trPr>
        <w:tc>
          <w:tcPr>
            <w:tcW w:w="1335" w:type="dxa"/>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满意度指标</w:t>
            </w:r>
          </w:p>
        </w:tc>
        <w:tc>
          <w:tcPr>
            <w:tcW w:w="1140" w:type="dxa"/>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服务对象满意度</w:t>
            </w:r>
          </w:p>
        </w:tc>
        <w:tc>
          <w:tcPr>
            <w:tcW w:w="1565" w:type="dxa"/>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受助学生满意度</w:t>
            </w:r>
          </w:p>
        </w:tc>
        <w:tc>
          <w:tcPr>
            <w:tcW w:w="2380"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≧85%</w:t>
            </w:r>
          </w:p>
        </w:tc>
        <w:tc>
          <w:tcPr>
            <w:tcW w:w="4005"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≧85%</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5" w:type="dxa"/>
            <w:left w:w="15" w:type="dxa"/>
            <w:bottom w:w="0" w:type="dxa"/>
            <w:right w:w="15" w:type="dxa"/>
          </w:tblCellMar>
        </w:tblPrEx>
        <w:trPr>
          <w:trHeight w:val="90" w:hRule="atLeast"/>
        </w:trPr>
        <w:tc>
          <w:tcPr>
            <w:tcW w:w="1335" w:type="dxa"/>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满意度指标</w:t>
            </w:r>
          </w:p>
        </w:tc>
        <w:tc>
          <w:tcPr>
            <w:tcW w:w="1140" w:type="dxa"/>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服务对象满意度</w:t>
            </w:r>
          </w:p>
        </w:tc>
        <w:tc>
          <w:tcPr>
            <w:tcW w:w="1565" w:type="dxa"/>
            <w:noWrap w:val="0"/>
            <w:tcMar>
              <w:top w:w="15" w:type="dxa"/>
              <w:left w:w="15" w:type="dxa"/>
              <w:right w:w="15" w:type="dxa"/>
            </w:tcMar>
            <w:vAlign w:val="center"/>
          </w:tcPr>
          <w:p>
            <w:pPr>
              <w:keepNext w:val="0"/>
              <w:keepLines w:val="0"/>
              <w:widowControl/>
              <w:suppressLineNumbers w:val="0"/>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家长满意度</w:t>
            </w:r>
          </w:p>
        </w:tc>
        <w:tc>
          <w:tcPr>
            <w:tcW w:w="2380"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≧85%</w:t>
            </w:r>
          </w:p>
        </w:tc>
        <w:tc>
          <w:tcPr>
            <w:tcW w:w="4005" w:type="dxa"/>
            <w:noWrap w:val="0"/>
            <w:tcMar>
              <w:top w:w="15" w:type="dxa"/>
              <w:left w:w="15" w:type="dxa"/>
              <w:right w:w="15" w:type="dxa"/>
            </w:tcMar>
            <w:vAlign w:val="center"/>
          </w:tcPr>
          <w:p>
            <w:pPr>
              <w:keepNext w:val="0"/>
              <w:keepLines w:val="0"/>
              <w:widowControl/>
              <w:suppressLineNumbers w:val="0"/>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bidi="ar"/>
              </w:rPr>
              <w:t>≧85%</w:t>
            </w:r>
          </w:p>
        </w:tc>
      </w:tr>
    </w:tbl>
    <w:p>
      <w:pPr>
        <w:tabs>
          <w:tab w:val="left" w:pos="1324"/>
        </w:tabs>
        <w:jc w:val="left"/>
        <w:rPr>
          <w:lang w:val="en-US" w:eastAsia="zh-CN"/>
        </w:rPr>
      </w:pPr>
    </w:p>
    <w:sectPr>
      <w:pgSz w:w="11906" w:h="16838" w:orient="landscape"/>
      <w:pgMar w:top="1440" w:right="1803" w:bottom="1440" w:left="1803" w:header="851" w:footer="992"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B0604020202020204"/>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5"/>
      <w:framePr w:wrap="around" w:vAnchor="text" w:hAnchor="margin" w:xAlign="outside" w:y="1"/>
      <w:rPr>
        <w:rStyle w:val="187"/>
        <w:rFonts w:hint="eastAsia"/>
      </w:rPr>
    </w:pPr>
    <w:r>
      <w:rPr>
        <w:rStyle w:val="187"/>
        <w:rFonts w:hint="eastAsia"/>
        <w:color w:val="FFFFFF"/>
      </w:rPr>
      <w:t>——</w:t>
    </w:r>
    <w:r>
      <w:rPr>
        <w:rStyle w:val="187"/>
        <w:rFonts w:hint="eastAsia"/>
        <w:b/>
        <w:sz w:val="28"/>
        <w:szCs w:val="28"/>
      </w:rPr>
      <w:t>—</w:t>
    </w:r>
    <w:r>
      <w:rPr>
        <w:rStyle w:val="187"/>
        <w:rFonts w:hint="eastAsia"/>
        <w:color w:val="FFFFFF"/>
      </w:rPr>
      <w:t>—</w:t>
    </w:r>
    <w:r>
      <w:rPr>
        <w:rFonts w:ascii="宋体" w:hAnsi="宋体"/>
        <w:b/>
        <w:sz w:val="28"/>
        <w:szCs w:val="28"/>
      </w:rPr>
      <w:fldChar w:fldCharType="begin"/>
    </w:r>
    <w:r>
      <w:rPr>
        <w:rStyle w:val="187"/>
        <w:rFonts w:ascii="宋体" w:hAnsi="宋体"/>
        <w:b/>
        <w:sz w:val="28"/>
        <w:szCs w:val="28"/>
      </w:rPr>
      <w:instrText xml:space="preserve">PAGE  </w:instrText>
    </w:r>
    <w:r>
      <w:rPr>
        <w:rFonts w:ascii="宋体" w:hAnsi="宋体"/>
        <w:b/>
        <w:sz w:val="28"/>
        <w:szCs w:val="28"/>
      </w:rPr>
      <w:fldChar w:fldCharType="separate"/>
    </w:r>
    <w:r>
      <w:rPr>
        <w:rStyle w:val="187"/>
        <w:rFonts w:ascii="宋体" w:hAnsi="宋体"/>
        <w:b/>
        <w:sz w:val="28"/>
        <w:szCs w:val="28"/>
      </w:rPr>
      <w:t>2</w:t>
    </w:r>
    <w:r>
      <w:rPr>
        <w:rFonts w:ascii="宋体" w:hAnsi="宋体"/>
        <w:b/>
        <w:sz w:val="28"/>
        <w:szCs w:val="28"/>
      </w:rPr>
      <w:fldChar w:fldCharType="end"/>
    </w:r>
    <w:r>
      <w:rPr>
        <w:rStyle w:val="187"/>
        <w:rFonts w:hint="eastAsia"/>
        <w:color w:val="FFFFFF"/>
      </w:rPr>
      <w:t>—</w:t>
    </w:r>
    <w:r>
      <w:rPr>
        <w:rStyle w:val="187"/>
        <w:rFonts w:hint="eastAsia"/>
        <w:b/>
        <w:sz w:val="28"/>
        <w:szCs w:val="28"/>
      </w:rPr>
      <w:t>—</w:t>
    </w:r>
    <w:r>
      <w:rPr>
        <w:rStyle w:val="187"/>
        <w:rFonts w:hint="eastAsia"/>
        <w:color w:val="FFFFFF"/>
      </w:rPr>
      <w:t>——</w:t>
    </w:r>
  </w:p>
  <w:p>
    <w:pPr>
      <w:pStyle w:val="185"/>
      <w:ind w:right="360" w:firstLine="360"/>
      <w:rPr>
        <w:rStyle w:val="187"/>
        <w:szCs w:val="28"/>
      </w:rPr>
    </w:pPr>
  </w:p>
  <w:p>
    <w:pPr>
      <w:pStyle w:val="185"/>
      <w:ind w:right="360" w:firstLine="360"/>
      <w:rPr>
        <w:rStyle w:val="187"/>
        <w:szCs w:val="28"/>
      </w:rPr>
    </w:pPr>
  </w:p>
  <w:p>
    <w:pPr>
      <w:pStyle w:val="18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characterSpacingControl w:val="doNotCompress"/>
  <w:compat>
    <w:balanceSingleByteDoubleByteWidth/>
    <w:ulTrailSpace/>
    <w:doNotExpandShiftReturn/>
    <w:useFELayout/>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D546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03"/>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link w:val="53"/>
    <w:unhideWhenUsed/>
    <w:uiPriority w:val="99"/>
    <w:pPr>
      <w:tabs>
        <w:tab w:val="center" w:pos="7143"/>
        <w:tab w:val="right" w:pos="14287"/>
      </w:tabs>
      <w:spacing w:after="0" w:line="240" w:lineRule="auto"/>
    </w:pPr>
  </w:style>
  <w:style w:type="paragraph" w:styleId="18">
    <w:name w:val="header"/>
    <w:basedOn w:val="1"/>
    <w:link w:val="51"/>
    <w:unhideWhenUsed/>
    <w:uiPriority w:val="99"/>
    <w:pPr>
      <w:tabs>
        <w:tab w:val="center" w:pos="7143"/>
        <w:tab w:val="right" w:pos="14287"/>
      </w:tabs>
      <w:spacing w:after="0" w:line="240" w:lineRule="auto"/>
    </w:p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1">
    <w:name w:val="endnote reference"/>
    <w:semiHidden/>
    <w:unhideWhenUsed/>
    <w:uiPriority w:val="99"/>
    <w:rPr>
      <w:vertAlign w:val="superscript"/>
    </w:rPr>
  </w:style>
  <w:style w:type="character" w:styleId="32">
    <w:name w:val="Hyperlink"/>
    <w:unhideWhenUsed/>
    <w:uiPriority w:val="99"/>
    <w:rPr>
      <w:color w:val="0000FF" w:themeColor="hyperlink"/>
      <w:u w:val="single"/>
    </w:rPr>
  </w:style>
  <w:style w:type="character" w:styleId="33">
    <w:name w:val="footnote reference"/>
    <w:unhideWhenUsed/>
    <w:uiPriority w:val="99"/>
    <w:rPr>
      <w:vertAlign w:val="superscript"/>
    </w:rPr>
  </w:style>
  <w:style w:type="character" w:customStyle="1" w:styleId="34">
    <w:name w:val="Heading 1 Char"/>
    <w:link w:val="2"/>
    <w:uiPriority w:val="9"/>
    <w:rPr>
      <w:rFonts w:ascii="等线" w:hAnsi="等线" w:eastAsia="等线" w:cs="等线"/>
      <w:sz w:val="40"/>
      <w:szCs w:val="40"/>
    </w:rPr>
  </w:style>
  <w:style w:type="character" w:customStyle="1" w:styleId="35">
    <w:name w:val="Heading 2 Char"/>
    <w:link w:val="3"/>
    <w:qFormat/>
    <w:uiPriority w:val="9"/>
    <w:rPr>
      <w:rFonts w:ascii="等线" w:hAnsi="等线" w:eastAsia="等线" w:cs="等线"/>
      <w:sz w:val="34"/>
    </w:rPr>
  </w:style>
  <w:style w:type="character" w:customStyle="1" w:styleId="36">
    <w:name w:val="Heading 3 Char"/>
    <w:link w:val="4"/>
    <w:qFormat/>
    <w:uiPriority w:val="9"/>
    <w:rPr>
      <w:rFonts w:ascii="等线" w:hAnsi="等线" w:eastAsia="等线" w:cs="等线"/>
      <w:sz w:val="30"/>
      <w:szCs w:val="30"/>
    </w:rPr>
  </w:style>
  <w:style w:type="character" w:customStyle="1" w:styleId="37">
    <w:name w:val="Heading 4 Char"/>
    <w:link w:val="5"/>
    <w:qFormat/>
    <w:uiPriority w:val="9"/>
    <w:rPr>
      <w:rFonts w:ascii="等线" w:hAnsi="等线" w:eastAsia="等线" w:cs="等线"/>
      <w:b/>
      <w:bCs/>
      <w:sz w:val="26"/>
      <w:szCs w:val="26"/>
    </w:rPr>
  </w:style>
  <w:style w:type="character" w:customStyle="1" w:styleId="38">
    <w:name w:val="Heading 5 Char"/>
    <w:link w:val="6"/>
    <w:uiPriority w:val="9"/>
    <w:rPr>
      <w:rFonts w:ascii="等线" w:hAnsi="等线" w:eastAsia="等线" w:cs="等线"/>
      <w:b/>
      <w:bCs/>
      <w:sz w:val="24"/>
      <w:szCs w:val="24"/>
    </w:rPr>
  </w:style>
  <w:style w:type="character" w:customStyle="1" w:styleId="39">
    <w:name w:val="Heading 6 Char"/>
    <w:link w:val="7"/>
    <w:uiPriority w:val="9"/>
    <w:rPr>
      <w:rFonts w:ascii="等线" w:hAnsi="等线" w:eastAsia="等线" w:cs="等线"/>
      <w:b/>
      <w:bCs/>
      <w:sz w:val="22"/>
      <w:szCs w:val="22"/>
    </w:rPr>
  </w:style>
  <w:style w:type="character" w:customStyle="1" w:styleId="40">
    <w:name w:val="Heading 7 Char"/>
    <w:link w:val="8"/>
    <w:uiPriority w:val="9"/>
    <w:rPr>
      <w:rFonts w:ascii="等线" w:hAnsi="等线" w:eastAsia="等线" w:cs="等线"/>
      <w:b/>
      <w:bCs/>
      <w:i/>
      <w:iCs/>
      <w:sz w:val="22"/>
      <w:szCs w:val="22"/>
    </w:rPr>
  </w:style>
  <w:style w:type="character" w:customStyle="1" w:styleId="41">
    <w:name w:val="Heading 8 Char"/>
    <w:link w:val="9"/>
    <w:uiPriority w:val="9"/>
    <w:rPr>
      <w:rFonts w:ascii="等线" w:hAnsi="等线" w:eastAsia="等线" w:cs="等线"/>
      <w:i/>
      <w:iCs/>
      <w:sz w:val="22"/>
      <w:szCs w:val="22"/>
    </w:rPr>
  </w:style>
  <w:style w:type="character" w:customStyle="1" w:styleId="42">
    <w:name w:val="Heading 9 Char"/>
    <w:link w:val="10"/>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Calibri" w:hAnsi="Calibri" w:eastAsia="宋体" w:cs="Times New Roman"/>
    </w:rPr>
  </w:style>
  <w:style w:type="character" w:customStyle="1" w:styleId="45">
    <w:name w:val="Title Char"/>
    <w:link w:val="27"/>
    <w:uiPriority w:val="10"/>
    <w:rPr>
      <w:sz w:val="48"/>
      <w:szCs w:val="48"/>
    </w:rPr>
  </w:style>
  <w:style w:type="character" w:customStyle="1" w:styleId="46">
    <w:name w:val="Subtitle Char"/>
    <w:link w:val="21"/>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link w:val="18"/>
    <w:uiPriority w:val="99"/>
  </w:style>
  <w:style w:type="character" w:customStyle="1" w:styleId="52">
    <w:name w:val="Footer Char"/>
    <w:link w:val="17"/>
    <w:uiPriority w:val="99"/>
  </w:style>
  <w:style w:type="character" w:customStyle="1" w:styleId="53">
    <w:name w:val="Caption Char"/>
    <w:link w:val="17"/>
    <w:uiPriority w:val="99"/>
  </w:style>
  <w:style w:type="table" w:customStyle="1" w:styleId="54">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5">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3"/>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4"/>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5"/>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blPr/>
      <w:tcPr>
        <w:tcBorders>
          <w:bottom w:val="single" w:color="7E7E7E" w:themeColor="text1" w:themeTint="80" w:sz="12" w:space="0"/>
        </w:tcBorders>
      </w:tcPr>
    </w:tblStylePr>
    <w:tblStylePr w:type="lastRow">
      <w:rPr>
        <w:b/>
        <w:color w:val="7E7E7E" w:themeColor="text1" w:themeShade="95" w:themeTint="80"/>
      </w:rPr>
      <w:tblPr/>
    </w:tblStylePr>
    <w:tblStylePr w:type="firstCol">
      <w:rPr>
        <w:b/>
        <w:color w:val="7E7E7E" w:themeColor="text1" w:themeShade="95" w:themeTint="80"/>
      </w:rPr>
      <w:tblPr/>
    </w:tblStylePr>
    <w:tblStylePr w:type="lastCol">
      <w:rPr>
        <w:b/>
        <w:color w:val="7E7E7E" w:themeColor="text1" w:themeShade="95" w:themeTint="80"/>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7E7E7E" w:themeColor="text1" w:themeShade="95" w:themeTint="80"/>
        <w:sz w:val="22"/>
      </w:rPr>
      <w:tblPr/>
      <w:tcPr>
        <w:shd w:val="clear" w:color="CACACA" w:themeColor="text1" w:themeTint="34" w:fill="CACACA" w:themeFill="text1" w:themeFillTint="34"/>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6">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blPr/>
      <w:tcPr>
        <w:tcBorders>
          <w:bottom w:val="single" w:color="A6BFDD" w:themeColor="accent1" w:themeTint="80" w:sz="12" w:space="0"/>
        </w:tcBorders>
      </w:tcPr>
    </w:tblStylePr>
    <w:tblStylePr w:type="lastRow">
      <w:rPr>
        <w:b/>
        <w:color w:val="A6BFDD" w:themeColor="accent1" w:themeShade="95" w:themeTint="80"/>
      </w:rPr>
      <w:tblPr/>
    </w:tblStylePr>
    <w:tblStylePr w:type="firstCol">
      <w:rPr>
        <w:b/>
        <w:color w:val="A6BFDD" w:themeColor="accent1" w:themeShade="95" w:themeTint="80"/>
      </w:rPr>
      <w:tblPr/>
    </w:tblStylePr>
    <w:tblStylePr w:type="lastCol">
      <w:rPr>
        <w:b/>
        <w:color w:val="A6BFDD" w:themeColor="accent1" w:themeShade="95" w:themeTint="80"/>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12" w:space="0"/>
        </w:tcBorders>
      </w:tcPr>
    </w:tblStylePr>
    <w:tblStylePr w:type="lastRow">
      <w:rPr>
        <w:b/>
        <w:color w:val="D99795" w:themeColor="accent2" w:themeShade="95" w:themeTint="97"/>
      </w:rPr>
      <w:tbl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blPr/>
      <w:tcPr>
        <w:tcBorders>
          <w:bottom w:val="single" w:color="9BBB59" w:themeColor="accent3" w:themeTint="FE" w:sz="12" w:space="0"/>
        </w:tcBorders>
      </w:tcPr>
    </w:tblStylePr>
    <w:tblStylePr w:type="lastRow">
      <w:rPr>
        <w:b/>
        <w:color w:val="9BBB59" w:themeColor="accent3" w:themeShade="95" w:themeTint="FE"/>
      </w:rPr>
      <w:tblPr/>
    </w:tblStylePr>
    <w:tblStylePr w:type="firstCol">
      <w:rPr>
        <w:b/>
        <w:color w:val="9BBB59" w:themeColor="accent3" w:themeShade="95" w:themeTint="FE"/>
      </w:rPr>
      <w:tblPr/>
    </w:tblStylePr>
    <w:tblStylePr w:type="lastCol">
      <w:rPr>
        <w:b/>
        <w:color w:val="9BBB59" w:themeColor="accent3" w:themeShade="95" w:themeTint="FE"/>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12" w:space="0"/>
        </w:tcBorders>
      </w:tcPr>
    </w:tblStylePr>
    <w:tblStylePr w:type="lastRow">
      <w:rPr>
        <w:b/>
        <w:color w:val="B2A1C6" w:themeColor="accent4" w:themeShade="95" w:themeTint="9A"/>
      </w:rPr>
      <w:tbl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9" w:themeColor="accent5" w:themeShade="95"/>
        <w:sz w:val="22"/>
      </w:rPr>
      <w:tblPr/>
      <w:tcPr>
        <w:shd w:val="clear" w:color="FDE9D9" w:themeColor="accent6" w:themeTint="34" w:fill="FDE9D9" w:themeFill="accent6"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7E7E7E" w:themeColor="text1" w:themeShade="95" w:themeTint="80"/>
        <w:sz w:val="22"/>
      </w:rPr>
      <w:tblPr/>
      <w:tcPr>
        <w:shd w:val="clear" w:color="F1F1F1" w:themeColor="text1" w:themeTint="0D" w:fill="F1F1F1" w:themeFill="text1" w:themeFillTint="0D"/>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15407" w:themeColor="accent6" w:themeShade="95"/>
        <w:sz w:val="22"/>
      </w:rPr>
      <w:tblPr/>
      <w:tcPr>
        <w:shd w:val="clear" w:color="FDE9D9" w:themeColor="accent6" w:themeTint="34" w:fill="FDE9D9" w:themeFill="accent6" w:themeFillTint="34"/>
      </w:tcPr>
    </w:tblStylePr>
    <w:tblStylePr w:type="band2Horz">
      <w:rPr>
        <w:rFonts w:ascii="Arial" w:hAnsi="Arial"/>
        <w:color w:val="B15407" w:themeColor="accent6" w:themeShade="95"/>
        <w:sz w:val="22"/>
      </w:rPr>
      <w:tblPr/>
    </w:tblStylePr>
    <w:tblStylePr w:type="neCell">
      <w:tblPr/>
    </w:tblStylePr>
    <w:tblStylePr w:type="nwCell">
      <w:tblPr/>
    </w:tblStylePr>
    <w:tblStylePr w:type="seCell">
      <w:tblPr/>
    </w:tblStylePr>
    <w:tblStylePr w:type="swCell">
      <w:tblPr/>
    </w:tblStylePr>
  </w:style>
  <w:style w:type="table" w:customStyle="1" w:styleId="109">
    <w:name w:val="List Table 1 Ligh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List Table 1 Light - Accent 1"/>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2"/>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3"/>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4"/>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5"/>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6"/>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8">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39">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0">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1">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2">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4">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blPr/>
      <w:tcPr>
        <w:tcBorders>
          <w:bottom w:val="single" w:color="7E7E7E" w:themeColor="text1" w:themeTint="80" w:sz="4" w:space="0"/>
        </w:tcBorders>
      </w:tcPr>
    </w:tblStylePr>
    <w:tblStylePr w:type="lastRow">
      <w:rPr>
        <w:b/>
        <w:color w:val="000000" w:themeColor="text1"/>
      </w:rPr>
      <w:tblPr/>
      <w:tcPr>
        <w:tcBorders>
          <w:top w:val="single" w:color="7E7E7E" w:themeColor="text1" w:themeTint="80"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rPr>
      <w:tblPr/>
      <w:tcPr>
        <w:shd w:val="clear" w:color="BEBEBE" w:themeColor="text1" w:themeTint="40" w:fill="BEBEBE" w:themeFill="text1" w:themeFillTint="40"/>
      </w:tcPr>
    </w:tblStylePr>
    <w:tblStylePr w:type="band2Horz">
      <w:rPr>
        <w:rFonts w:ascii="Arial" w:hAnsi="Arial"/>
        <w:color w:val="000000" w:themeColor="text1"/>
        <w:sz w:val="22"/>
      </w:rPr>
      <w:tblPr/>
    </w:tblStylePr>
    <w:tblStylePr w:type="neCell">
      <w:tblPr/>
    </w:tblStylePr>
    <w:tblStylePr w:type="nwCell">
      <w:tblPr/>
    </w:tblStylePr>
    <w:tblStylePr w:type="seCell">
      <w:tblPr/>
    </w:tblStylePr>
    <w:tblStylePr w:type="swCell">
      <w:tblPr/>
    </w:tblStylePr>
  </w:style>
  <w:style w:type="table" w:customStyle="1" w:styleId="145">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blPr/>
      <w:tcPr>
        <w:tcBorders>
          <w:bottom w:val="single" w:color="4F81BD" w:themeColor="accent1" w:sz="4" w:space="0"/>
        </w:tcBorders>
      </w:tcPr>
    </w:tblStylePr>
    <w:tblStylePr w:type="lastRow">
      <w:rPr>
        <w:b/>
        <w:color w:val="2A4B71" w:themeColor="accent1" w:themeShade="95"/>
      </w:rPr>
      <w:tblPr/>
      <w:tcPr>
        <w:tcBorders>
          <w:top w:val="single" w:color="4F81BD" w:themeColor="accent1" w:sz="4" w:space="0"/>
        </w:tcBorders>
      </w:tcPr>
    </w:tblStylePr>
    <w:tblStylePr w:type="firstCol">
      <w:rPr>
        <w:b/>
        <w:color w:val="2A4B71" w:themeColor="accent1" w:themeShade="95"/>
      </w:rPr>
      <w:tblPr/>
    </w:tblStylePr>
    <w:tblStylePr w:type="lastCol">
      <w:rPr>
        <w:b/>
        <w:color w:val="2A4B71" w:themeColor="accent1" w:themeShade="95"/>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4" w:space="0"/>
        </w:tcBorders>
      </w:tcPr>
    </w:tblStylePr>
    <w:tblStylePr w:type="lastRow">
      <w:rPr>
        <w:b/>
        <w:color w:val="D99795" w:themeColor="accent2" w:themeShade="95" w:themeTint="97"/>
      </w:rPr>
      <w:tblPr/>
      <w:tcPr>
        <w:tcBorders>
          <w:top w:val="single" w:color="D99795" w:themeColor="accent2" w:themeTint="97" w:sz="4" w:space="0"/>
        </w:tcBorders>
      </w:tc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blPr/>
      <w:tcPr>
        <w:tcBorders>
          <w:bottom w:val="single" w:color="C3D69C" w:themeColor="accent3" w:themeTint="98" w:sz="4" w:space="0"/>
        </w:tcBorders>
      </w:tcPr>
    </w:tblStylePr>
    <w:tblStylePr w:type="lastRow">
      <w:rPr>
        <w:b/>
        <w:color w:val="C3D69C" w:themeColor="accent3" w:themeShade="95" w:themeTint="98"/>
      </w:rPr>
      <w:tblPr/>
      <w:tcPr>
        <w:tcBorders>
          <w:top w:val="single" w:color="C3D69C" w:themeColor="accent3" w:themeTint="98" w:sz="4" w:space="0"/>
        </w:tcBorders>
      </w:tcPr>
    </w:tblStylePr>
    <w:tblStylePr w:type="firstCol">
      <w:rPr>
        <w:b/>
        <w:color w:val="C3D69C" w:themeColor="accent3" w:themeShade="95" w:themeTint="98"/>
      </w:rPr>
      <w:tblPr/>
    </w:tblStylePr>
    <w:tblStylePr w:type="lastCol">
      <w:rPr>
        <w:b/>
        <w:color w:val="C3D69C" w:themeColor="accent3" w:themeShade="95" w:themeTint="98"/>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4" w:space="0"/>
        </w:tcBorders>
      </w:tcPr>
    </w:tblStylePr>
    <w:tblStylePr w:type="lastRow">
      <w:rPr>
        <w:b/>
        <w:color w:val="B2A1C6" w:themeColor="accent4" w:themeShade="95" w:themeTint="9A"/>
      </w:rPr>
      <w:tblPr/>
      <w:tcPr>
        <w:tcBorders>
          <w:top w:val="single" w:color="B2A1C6" w:themeColor="accent4" w:themeTint="9A" w:sz="4" w:space="0"/>
        </w:tcBorders>
      </w:tc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blPr/>
      <w:tcPr>
        <w:tcBorders>
          <w:bottom w:val="single" w:color="92CCDC" w:themeColor="accent5" w:themeTint="9A" w:sz="4" w:space="0"/>
        </w:tcBorders>
      </w:tcPr>
    </w:tblStylePr>
    <w:tblStylePr w:type="lastRow">
      <w:rPr>
        <w:b/>
        <w:color w:val="92CCDC" w:themeColor="accent5" w:themeShade="95" w:themeTint="9A"/>
      </w:rPr>
      <w:tblPr/>
      <w:tcPr>
        <w:tcBorders>
          <w:top w:val="single" w:color="92CCDC" w:themeColor="accent5" w:themeTint="9A" w:sz="4" w:space="0"/>
        </w:tcBorders>
      </w:tcPr>
    </w:tblStylePr>
    <w:tblStylePr w:type="firstCol">
      <w:rPr>
        <w:b/>
        <w:color w:val="92CCDC" w:themeColor="accent5" w:themeShade="95" w:themeTint="9A"/>
      </w:rPr>
      <w:tblPr/>
    </w:tblStylePr>
    <w:tblStylePr w:type="lastCol">
      <w:rPr>
        <w:b/>
        <w:color w:val="92CCDC" w:themeColor="accent5" w:themeShade="95" w:themeTint="9A"/>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blPr/>
      <w:tcPr>
        <w:tcBorders>
          <w:bottom w:val="single" w:color="FAC090" w:themeColor="accent6" w:themeTint="98" w:sz="4" w:space="0"/>
        </w:tcBorders>
      </w:tcPr>
    </w:tblStylePr>
    <w:tblStylePr w:type="lastRow">
      <w:rPr>
        <w:b/>
        <w:color w:val="FAC090" w:themeColor="accent6" w:themeShade="95" w:themeTint="98"/>
      </w:rPr>
      <w:tblPr/>
      <w:tcPr>
        <w:tcBorders>
          <w:top w:val="single" w:color="FAC090" w:themeColor="accent6" w:themeTint="98" w:sz="4" w:space="0"/>
        </w:tcBorders>
      </w:tcPr>
    </w:tblStylePr>
    <w:tblStylePr w:type="firstCol">
      <w:rPr>
        <w:b/>
        <w:color w:val="FAC090" w:themeColor="accent6" w:themeShade="95" w:themeTint="98"/>
      </w:rPr>
      <w:tblPr/>
    </w:tblStylePr>
    <w:tblStylePr w:type="lastCol">
      <w:rPr>
        <w:b/>
        <w:color w:val="FAC090" w:themeColor="accent6" w:themeShade="95" w:themeTint="98"/>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1">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7E7E7E" w:themeColor="text1" w:themeShade="95" w:themeTint="80"/>
        <w:sz w:val="22"/>
      </w:rPr>
      <w:tblPr/>
      <w:tcPr>
        <w:shd w:val="clear" w:color="BEBEBE" w:themeColor="text1" w:themeTint="40" w:fill="BEBEBE" w:themeFill="text1" w:themeFillTint="40"/>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8">
    <w:name w:val="Lined - Accen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59">
    <w:name w:val="Lined - Accent 1"/>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0">
    <w:name w:val="Lined - Accent 2"/>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1">
    <w:name w:val="Lined - Accent 3"/>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2">
    <w:name w:val="Lined - Accent 4"/>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5"/>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6"/>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5">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3">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Calibri" w:hAnsi="Calibri" w:eastAsia="宋体" w:cs="Times New Roman"/>
    </w:rPr>
  </w:style>
  <w:style w:type="character" w:customStyle="1" w:styleId="182">
    <w:name w:val="默认段落字体1"/>
    <w:link w:val="1"/>
    <w:semiHidden/>
    <w:qFormat/>
    <w:uiPriority w:val="0"/>
  </w:style>
  <w:style w:type="table" w:customStyle="1" w:styleId="183">
    <w:name w:val="普通表格1"/>
    <w:semiHidden/>
    <w:qFormat/>
    <w:uiPriority w:val="0"/>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184">
    <w:name w:val="正文缩进1"/>
    <w:basedOn w:val="1"/>
    <w:qFormat/>
    <w:uiPriority w:val="0"/>
    <w:pPr>
      <w:ind w:firstLine="420"/>
    </w:pPr>
  </w:style>
  <w:style w:type="paragraph" w:customStyle="1" w:styleId="185">
    <w:name w:val="页脚1"/>
    <w:basedOn w:val="1"/>
    <w:qFormat/>
    <w:uiPriority w:val="0"/>
    <w:pPr>
      <w:tabs>
        <w:tab w:val="center" w:pos="4153"/>
        <w:tab w:val="right" w:pos="8306"/>
      </w:tabs>
      <w:jc w:val="left"/>
    </w:pPr>
    <w:rPr>
      <w:sz w:val="18"/>
      <w:szCs w:val="18"/>
    </w:rPr>
  </w:style>
  <w:style w:type="paragraph" w:customStyle="1" w:styleId="186">
    <w:name w:val="页眉1"/>
    <w:basedOn w:val="1"/>
    <w:qFormat/>
    <w:uiPriority w:val="0"/>
    <w:pPr>
      <w:pBdr>
        <w:bottom w:val="single" w:color="000000" w:sz="6" w:space="1"/>
      </w:pBdr>
      <w:tabs>
        <w:tab w:val="center" w:pos="4153"/>
        <w:tab w:val="right" w:pos="8306"/>
      </w:tabs>
      <w:jc w:val="center"/>
    </w:pPr>
    <w:rPr>
      <w:sz w:val="18"/>
      <w:szCs w:val="18"/>
    </w:rPr>
  </w:style>
  <w:style w:type="character" w:customStyle="1" w:styleId="187">
    <w:name w:val="页码1"/>
    <w:basedOn w:val="182"/>
    <w:link w:val="1"/>
    <w:qFormat/>
    <w:uiPriority w:val="0"/>
    <w:rPr>
      <w:rFonts w:ascii="Times New Roman" w:hAnsi="Times New Roman" w:eastAsia="宋体" w:cs="Times New Roman"/>
    </w:rPr>
  </w:style>
  <w:style w:type="paragraph" w:customStyle="1" w:styleId="188">
    <w:name w:val="附件"/>
    <w:basedOn w:val="1"/>
    <w:qFormat/>
    <w:uiPriority w:val="99"/>
    <w:pPr>
      <w:widowControl/>
      <w:ind w:left="1638" w:hanging="1016"/>
    </w:pPr>
    <w:rPr>
      <w:rFonts w:eastAsia="仿宋_GB2312"/>
      <w:sz w:val="32"/>
      <w:szCs w:val="32"/>
    </w:rPr>
  </w:style>
  <w:style w:type="character" w:customStyle="1" w:styleId="189">
    <w:name w:val="font61"/>
    <w:basedOn w:val="182"/>
    <w:link w:val="1"/>
    <w:qFormat/>
    <w:uiPriority w:val="0"/>
    <w:rPr>
      <w:rFonts w:ascii="Arial" w:hAnsi="Arial" w:eastAsia="宋体" w:cs="Arial"/>
      <w:b/>
      <w:color w:val="000000"/>
      <w:sz w:val="24"/>
      <w:szCs w:val="24"/>
      <w:u w:val="none"/>
    </w:rPr>
  </w:style>
  <w:style w:type="character" w:customStyle="1" w:styleId="190">
    <w:name w:val="font122"/>
    <w:basedOn w:val="182"/>
    <w:link w:val="1"/>
    <w:qFormat/>
    <w:uiPriority w:val="0"/>
    <w:rPr>
      <w:rFonts w:hint="eastAsia" w:ascii="仿宋_GB2312" w:hAnsi="Times New Roman" w:eastAsia="仿宋_GB2312" w:cs="仿宋_GB2312"/>
      <w:b/>
      <w:color w:val="000000"/>
      <w:sz w:val="24"/>
      <w:szCs w:val="24"/>
      <w:u w:val="none"/>
    </w:rPr>
  </w:style>
  <w:style w:type="character" w:customStyle="1" w:styleId="191">
    <w:name w:val="font01"/>
    <w:basedOn w:val="182"/>
    <w:link w:val="1"/>
    <w:qFormat/>
    <w:uiPriority w:val="0"/>
    <w:rPr>
      <w:rFonts w:ascii="方正仿宋_GBK" w:hAnsi="方正仿宋_GBK" w:eastAsia="方正仿宋_GBK" w:cs="方正仿宋_GBK"/>
      <w:color w:val="000000"/>
      <w:sz w:val="22"/>
      <w:szCs w:val="22"/>
      <w:u w:val="none"/>
    </w:rPr>
  </w:style>
  <w:style w:type="character" w:customStyle="1" w:styleId="192">
    <w:name w:val="font31"/>
    <w:basedOn w:val="182"/>
    <w:link w:val="1"/>
    <w:qFormat/>
    <w:uiPriority w:val="0"/>
    <w:rPr>
      <w:rFonts w:ascii="Times New Roman" w:hAnsi="Times New Roman" w:eastAsia="宋体" w:cs="Times New Roman"/>
      <w:color w:val="000000"/>
      <w:sz w:val="22"/>
      <w:szCs w:val="22"/>
      <w:u w:val="none"/>
    </w:rPr>
  </w:style>
  <w:style w:type="character" w:customStyle="1" w:styleId="193">
    <w:name w:val="font81"/>
    <w:basedOn w:val="182"/>
    <w:link w:val="1"/>
    <w:qFormat/>
    <w:uiPriority w:val="0"/>
    <w:rPr>
      <w:rFonts w:hint="eastAsia" w:ascii="方正仿宋_GBK" w:hAnsi="方正仿宋_GBK" w:eastAsia="方正仿宋_GBK" w:cs="方正仿宋_GBK"/>
      <w:b/>
      <w:color w:val="000000"/>
      <w:sz w:val="28"/>
      <w:szCs w:val="28"/>
      <w:u w:val="none"/>
    </w:rPr>
  </w:style>
  <w:style w:type="character" w:customStyle="1" w:styleId="194">
    <w:name w:val="font21"/>
    <w:basedOn w:val="182"/>
    <w:link w:val="1"/>
    <w:qFormat/>
    <w:uiPriority w:val="0"/>
    <w:rPr>
      <w:rFonts w:ascii="Times New Roman" w:hAnsi="Times New Roman" w:eastAsia="宋体" w:cs="Times New Roman"/>
      <w:b/>
      <w:color w:val="000000"/>
      <w:sz w:val="28"/>
      <w:szCs w:val="28"/>
      <w:u w:val="none"/>
    </w:rPr>
  </w:style>
  <w:style w:type="character" w:customStyle="1" w:styleId="195">
    <w:name w:val="font11"/>
    <w:basedOn w:val="182"/>
    <w:link w:val="1"/>
    <w:qFormat/>
    <w:uiPriority w:val="0"/>
    <w:rPr>
      <w:rFonts w:hint="eastAsia" w:ascii="方正仿宋_GBK" w:hAnsi="方正仿宋_GBK" w:eastAsia="方正仿宋_GBK" w:cs="方正仿宋_GBK"/>
      <w:color w:val="000000"/>
      <w:sz w:val="22"/>
      <w:szCs w:val="22"/>
      <w:u w:val="none"/>
    </w:rPr>
  </w:style>
  <w:style w:type="character" w:customStyle="1" w:styleId="196">
    <w:name w:val="font51"/>
    <w:basedOn w:val="182"/>
    <w:link w:val="1"/>
    <w:qFormat/>
    <w:uiPriority w:val="0"/>
    <w:rPr>
      <w:rFonts w:hint="eastAsia" w:ascii="宋体" w:hAnsi="宋体" w:eastAsia="宋体" w:cs="宋体"/>
      <w:color w:val="000000"/>
      <w:sz w:val="22"/>
      <w:szCs w:val="22"/>
      <w:u w:val="none"/>
    </w:rPr>
  </w:style>
  <w:style w:type="character" w:customStyle="1" w:styleId="197">
    <w:name w:val="font101"/>
    <w:basedOn w:val="182"/>
    <w:link w:val="1"/>
    <w:qFormat/>
    <w:uiPriority w:val="0"/>
    <w:rPr>
      <w:rFonts w:hint="eastAsia" w:ascii="方正仿宋_GBK" w:hAnsi="方正仿宋_GBK" w:eastAsia="方正仿宋_GBK" w:cs="方正仿宋_GBK"/>
      <w:b/>
      <w:color w:val="000000"/>
      <w:sz w:val="24"/>
      <w:szCs w:val="24"/>
      <w:u w:val="none"/>
    </w:rPr>
  </w:style>
  <w:style w:type="character" w:customStyle="1" w:styleId="198">
    <w:name w:val="font121"/>
    <w:basedOn w:val="182"/>
    <w:link w:val="1"/>
    <w:qFormat/>
    <w:uiPriority w:val="0"/>
    <w:rPr>
      <w:rFonts w:hint="eastAsia" w:ascii="方正仿宋_GBK" w:hAnsi="方正仿宋_GBK" w:eastAsia="方正仿宋_GBK" w:cs="方正仿宋_GBK"/>
      <w:color w:val="000000"/>
      <w:sz w:val="24"/>
      <w:szCs w:val="24"/>
      <w:u w:val="none"/>
    </w:rPr>
  </w:style>
  <w:style w:type="character" w:customStyle="1" w:styleId="199">
    <w:name w:val="font142"/>
    <w:basedOn w:val="182"/>
    <w:link w:val="1"/>
    <w:qFormat/>
    <w:uiPriority w:val="0"/>
    <w:rPr>
      <w:rFonts w:hint="eastAsia" w:ascii="方正仿宋_GBK" w:hAnsi="方正仿宋_GBK" w:eastAsia="方正仿宋_GBK" w:cs="方正仿宋_GBK"/>
      <w:color w:val="000000"/>
      <w:sz w:val="40"/>
      <w:szCs w:val="40"/>
      <w:u w:val="none"/>
    </w:rPr>
  </w:style>
  <w:style w:type="character" w:customStyle="1" w:styleId="200">
    <w:name w:val="font71"/>
    <w:basedOn w:val="182"/>
    <w:link w:val="1"/>
    <w:qFormat/>
    <w:uiPriority w:val="0"/>
    <w:rPr>
      <w:rFonts w:hint="eastAsia" w:ascii="方正仿宋_GBK" w:hAnsi="方正仿宋_GBK" w:eastAsia="方正仿宋_GBK" w:cs="方正仿宋_GBK"/>
      <w:color w:val="000000"/>
      <w:sz w:val="40"/>
      <w:szCs w:val="40"/>
      <w:u w:val="none"/>
    </w:rPr>
  </w:style>
  <w:style w:type="character" w:customStyle="1" w:styleId="201">
    <w:name w:val="font131"/>
    <w:basedOn w:val="182"/>
    <w:link w:val="1"/>
    <w:qFormat/>
    <w:uiPriority w:val="0"/>
    <w:rPr>
      <w:rFonts w:hint="eastAsia" w:ascii="方正仿宋_GBK" w:hAnsi="方正仿宋_GBK" w:eastAsia="方正仿宋_GBK" w:cs="方正仿宋_GBK"/>
      <w:color w:val="000000"/>
      <w:sz w:val="40"/>
      <w:szCs w:val="40"/>
      <w:u w:val="none"/>
    </w:rPr>
  </w:style>
  <w:style w:type="character" w:customStyle="1" w:styleId="202">
    <w:name w:val="font161"/>
    <w:basedOn w:val="182"/>
    <w:link w:val="1"/>
    <w:qFormat/>
    <w:uiPriority w:val="0"/>
    <w:rPr>
      <w:rFonts w:ascii="Times New Roman" w:hAnsi="Times New Roman" w:eastAsia="宋体" w:cs="Times New Roman"/>
      <w:color w:val="000000"/>
      <w:sz w:val="40"/>
      <w:szCs w:val="40"/>
      <w:u w:val="none"/>
    </w:rPr>
  </w:style>
  <w:style w:type="character" w:customStyle="1" w:styleId="203">
    <w:name w:val="font41"/>
    <w:basedOn w:val="182"/>
    <w:link w:val="1"/>
    <w:uiPriority w:val="0"/>
    <w:rPr>
      <w:rFonts w:ascii="Times New Roman" w:hAnsi="Times New Roman" w:eastAsia="宋体" w:cs="Times New Roman"/>
      <w:b/>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德宏州梁河县</Company>
  <TotalTime>0</TotalTime>
  <ScaleCrop>false</ScaleCrop>
  <LinksUpToDate>false</LinksUpToDate>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2020-12-09T02:15:00Z</dcterms:created>
  <dc:creator>DE</dc:creator>
  <cp:lastModifiedBy>花花世界</cp:lastModifiedBy>
  <dcterms:modified xsi:type="dcterms:W3CDTF">2024-05-26T13:20:35Z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F3EA9FD4851B43799A8FB47C3B341F25</vt:lpwstr>
  </property>
</Properties>
</file>