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0" w:left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梁河县财政局关于下达 2021 年中央财政医疗服务与保障能力提升补助资金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0" w:left="0"/>
        <w:jc w:val="center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的通知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0" w:left="0"/>
        <w:jc w:val="both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梁河县医疗保障局：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640" w:left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根据《德宏州财政局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德宏州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医疗保障局关于下达 2021 年中央财政医疗服务与保障能力提升补助资金的通知》（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德财社〔202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1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〕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20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精神及州医保局提出的资金分配意见，为支持我县加强医疗保障能力建设，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现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下达你单位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2021 年中央财政医疗服务与保障能力提升补助资金(医疗保障服务能力提升部分，项目代码 Z155080000004 )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5.7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万元（具体金额详见附件）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，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现将有关事项通知如下: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640" w:left="0"/>
        <w:jc w:val="both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一、此款收入列入“1100249-医疗卫生共同财政事权转移支付收入”预算科目，支出列第 21015 款“医疗保障管理事务”中相关科目，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政府及部门预算支出经济分类科目请按资金管理规定列支。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640" w:left="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二、请你单位按照有关要求做好预算编制、指标安排等相关工作。同时，为进一步加强预算绩效管理，切实提高财政资金使用效益，请在组织预算执行中对照你县市、单位区域绩效目标做好绩效监控，确保年度绩效目标如期实现，同时做好预算绩效管理工作。州级医保部门负责对本州绩效目标完成情况进行考核，考核结果与下年度中央财政补助资金安排挂钩。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640" w:left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三、请单位收到项目纸质指标文件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5个工作日内，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登录云南省地方财政预算标准化管理平台系统完成项目申报工作。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以便于及时下达资金。</w:t>
      </w:r>
      <w:r>
        <w:rPr>
          <w:rFonts w:ascii="Times New Roman" w:hAnsi="Times New Roman" w:eastAsia="仿宋_GB2312" w:cs="Times New Roman"/>
          <w:sz w:val="32"/>
          <w:szCs w:val="32"/>
        </w:rPr>
      </w:r>
      <w:r>
        <w:rPr>
          <w:rFonts w:ascii="Times New Roman" w:hAnsi="Times New Roman" w:eastAsia="仿宋_GB2312" w:cs="Times New Roman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640" w:left="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hanging="960" w:left="1598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附件：1.2021年中央财政医疗服务与保障能力提升补助资金下达表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00" w:lineRule="exact"/>
        <w:ind w:right="0" w:firstLine="0" w:left="1596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2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 xml:space="preserve">.2021年中央财政医疗服务与保障能力提升补助资金绩效目标表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60" w:lineRule="exact"/>
        <w:ind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60" w:lineRule="exact"/>
        <w:ind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60" w:lineRule="exact"/>
        <w:ind w:firstLine="640"/>
        <w:jc w:val="righ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szCs w:val="32"/>
          <w:lang w:eastAsia="zh-CN"/>
        </w:rPr>
        <w:t xml:space="preserve">梁河县财政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局 </w:t>
      </w:r>
      <w:r>
        <w:rPr>
          <w:rFonts w:hint="eastAsia" w:ascii="Times New Roman" w:hAnsi="Times New Roman" w:eastAsia="方正仿宋_GBK" w:cs="方正仿宋_GBK"/>
          <w:sz w:val="32"/>
          <w:szCs w:val="32"/>
        </w:rPr>
      </w:r>
      <w:r>
        <w:rPr>
          <w:rFonts w:hint="eastAsia" w:ascii="Times New Roman" w:hAnsi="Times New Roman" w:eastAsia="方正仿宋_GBK" w:cs="方正仿宋_GBK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60" w:lineRule="exact"/>
        <w:ind w:firstLine="640"/>
        <w:jc w:val="right"/>
        <w:rPr>
          <w:rFonts w:eastAsia="方正仿宋_GBK" w:cs="方正仿宋_GBK"/>
          <w:sz w:val="32"/>
          <w:szCs w:val="32"/>
          <w:lang w:val="en-US" w:eastAsia="zh-CN"/>
        </w:rPr>
        <w:sectPr>
          <w:footnotePr/>
          <w:endnotePr/>
          <w:type w:val="nextPage"/>
          <w:pgSz w:h="16838" w:orient="landscape" w:w="11906"/>
          <w:pgMar w:top="1440" w:right="1800" w:bottom="1440" w:left="1800" w:header="851" w:footer="992" w:gutter="0"/>
          <w:cols w:num="1" w:sep="0" w:space="1701" w:equalWidth="1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　　　　             </w:t>
      </w:r>
      <w:r>
        <w:rPr>
          <w:rFonts w:eastAsia="方正仿宋_GBK" w:cs="方正仿宋_GBK"/>
          <w:sz w:val="32"/>
          <w:szCs w:val="32"/>
          <w:lang w:val="en-US" w:eastAsia="zh-CN"/>
        </w:rPr>
      </w:r>
      <w:r>
        <w:rPr>
          <w:rFonts w:eastAsia="方正仿宋_GBK" w:cs="方正仿宋_GBK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/>
        <w:ind/>
        <w:jc w:val="left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附件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1</w:t>
      </w: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：</w:t>
      </w:r>
      <w:r>
        <w:rPr>
          <w:rFonts w:hint="eastAsia" w:ascii="仿宋_GB2312" w:hAnsi="仿宋_GB2312" w:eastAsia="仿宋_GB2312" w:cs="Times New Roman"/>
          <w:sz w:val="32"/>
          <w:szCs w:val="32"/>
        </w:rPr>
      </w:r>
      <w:r>
        <w:rPr>
          <w:rFonts w:hint="eastAsia" w:ascii="仿宋_GB2312" w:hAnsi="仿宋_GB2312" w:eastAsia="仿宋_GB2312" w:cs="Times New Roman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24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. 2021 年中央财政医疗服务与保障能力提升补助资金下达表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</w:p>
    <w:p>
      <w:pPr>
        <w:pStyle w:val="616"/>
        <w:keepNext w:val="false"/>
        <w:keepLines w:val="false"/>
        <w:widowControl w:val="true"/>
        <w:suppressLineNumbers w:val="false"/>
        <w:pBdr/>
        <w:spacing/>
        <w:ind w:firstLine="10640"/>
        <w:jc w:val="righ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 xml:space="preserve">单位：万元</w:t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tbl>
      <w:tblPr>
        <w:tblW w:w="8321" w:type="dxa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2" w:type="dxa"/>
          <w:top w:w="12" w:type="dxa"/>
          <w:right w:w="12" w:type="dxa"/>
          <w:bottom w:w="0" w:type="dxa"/>
        </w:tblCellMar>
        <w:tblLook w:val="04A0" w:firstRow="1" w:lastRow="0" w:firstColumn="1" w:lastColumn="0" w:noHBand="0" w:noVBand="1"/>
      </w:tblPr>
      <w:tblGrid>
        <w:gridCol w:w="3574"/>
        <w:gridCol w:w="4747"/>
      </w:tblGrid>
      <w:tr>
        <w:trPr>
          <w:trHeight w:val="56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357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 xml:space="preserve">单   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474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 xml:space="preserve">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r>
          </w:p>
        </w:tc>
      </w:tr>
      <w:tr>
        <w:trPr>
          <w:trHeight w:val="72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3574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 xml:space="preserve">梁河县医疗保障局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4747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 xml:space="preserve">5.7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r>
          </w:p>
        </w:tc>
      </w:tr>
    </w:tbl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  <w:sectPr>
          <w:footnotePr/>
          <w:endnotePr/>
          <w:type w:val="nextPage"/>
          <w:pgSz w:h="16838" w:orient="landscape" w:w="11906"/>
          <w:pgMar w:top="1440" w:right="1803" w:bottom="1440" w:left="1803" w:header="851" w:footer="992" w:gutter="0"/>
          <w:cols w:num="1" w:sep="0" w:space="1701" w:equalWidth="1"/>
        </w:sect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240" w:lineRule="atLeast"/>
        <w:ind/>
        <w:jc w:val="left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 xml:space="preserve">附件2：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240" w:lineRule="atLeast"/>
        <w:ind/>
        <w:jc w:val="center"/>
        <w:rPr>
          <w:rFonts w:ascii="Times New Roman" w:hAnsi="Times New Roman" w:eastAsia="仿宋_GB2312" w:cs="方正仿宋_GBK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2021 年中央财政医疗服务与保障能力提升补助资金绩效目标表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Times New Roman"/>
          <w:sz w:val="24"/>
          <w:szCs w:val="24"/>
          <w:lang w:eastAsia="zh-CN"/>
        </w:rPr>
        <w:t xml:space="preserve">（</w:t>
      </w:r>
      <w:r>
        <w:rPr>
          <w:rFonts w:hint="eastAsia" w:ascii="仿宋_GB2312" w:hAnsi="仿宋_GB2312" w:eastAsia="仿宋_GB2312" w:cs="Times New Roman"/>
          <w:sz w:val="24"/>
          <w:szCs w:val="24"/>
          <w:lang w:val="en-US" w:eastAsia="zh-CN"/>
        </w:rPr>
        <w:t xml:space="preserve">2021年度）</w:t>
      </w:r>
      <w:r>
        <w:rPr>
          <w:rFonts w:ascii="Times New Roman" w:hAnsi="Times New Roman" w:eastAsia="仿宋_GB2312" w:cs="方正仿宋_GBK"/>
          <w:sz w:val="24"/>
          <w:szCs w:val="24"/>
          <w:lang w:val="en-US" w:eastAsia="zh-CN"/>
        </w:rPr>
      </w:r>
      <w:r>
        <w:rPr>
          <w:rFonts w:ascii="Times New Roman" w:hAnsi="Times New Roman" w:eastAsia="仿宋_GB2312" w:cs="方正仿宋_GBK"/>
          <w:sz w:val="24"/>
          <w:szCs w:val="24"/>
          <w:lang w:val="en-US" w:eastAsia="zh-CN"/>
        </w:rPr>
      </w:r>
    </w:p>
    <w:tbl>
      <w:tblPr>
        <w:tblW w:w="8324" w:type="dxa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12" w:type="dxa"/>
          <w:top w:w="12" w:type="dxa"/>
          <w:right w:w="12" w:type="dxa"/>
          <w:bottom w:w="0" w:type="dxa"/>
        </w:tblCellMar>
        <w:tblLook w:val="04A0" w:firstRow="1" w:lastRow="0" w:firstColumn="1" w:lastColumn="0" w:noHBand="0" w:noVBand="1"/>
      </w:tblPr>
      <w:tblGrid>
        <w:gridCol w:w="748"/>
        <w:gridCol w:w="864"/>
        <w:gridCol w:w="792"/>
        <w:gridCol w:w="1533"/>
        <w:gridCol w:w="2655"/>
        <w:gridCol w:w="1732"/>
      </w:tblGrid>
      <w:tr>
        <w:trPr>
          <w:trHeight w:val="244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项目名称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医疗服务与保障能力提升补助资金（医疗保障服务能力提升部分）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04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县（市）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梁河县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2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财政部门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梁河县财政局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2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主管部门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梁河县医疗保障局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18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资金情况（万元）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梁河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32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5.7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1858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年度目标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5"/>
            <w:tcBorders/>
            <w:tcMar>
              <w:left w:w="12" w:type="dxa"/>
              <w:top w:w="12" w:type="dxa"/>
              <w:right w:w="12" w:type="dxa"/>
            </w:tcMar>
            <w:tcW w:w="757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目标1：提升信息化水平，加强网络、信息安全、基础设施等方面建设，进一步夯实技术基础，提高数据采集质量和速度，切实保障医保信息系统高效、安全运转；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目标2：加强打击欺诈骗保工作力度，切实保障医保基金合理有效使用；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目标3：加快推进医保支付方式改革，提高电子医保卡激活率；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目标4：加大扶贫领域监督检查力度；                                                                            目标5：有效提升综合监管、宣传引导、经办服务、人才队伍建设等医保保障。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98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绩 效 指 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一级指标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二级指标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三级指标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指标值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86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梁河县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412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产出指标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数量指标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召开医保工作新闻发布会、政策吹风会次数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≥1次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r>
          </w:p>
        </w:tc>
      </w:tr>
      <w:tr>
        <w:trPr>
          <w:trHeight w:val="30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召开医保工作信息公开工作会议或培训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≥2次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</w:r>
          </w:p>
        </w:tc>
      </w:tr>
      <w:tr>
        <w:trPr>
          <w:trHeight w:val="36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扶贫领域督促检查县市覆盖率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≥60%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6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开展DRG改革的县市区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逐步推开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72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电子医保卡激活率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≥30%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9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质量指标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定点医药机构监督检查覆盖率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100%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98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医保信息系统正常运行率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≥90%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28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医保信息系统验收合格率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≥85%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14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医保信息系统重大安全事件响应时间(硬件故障除外）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≤30分钟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54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效益指标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公共服务事项限时办结率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≥85%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194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533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医保经办服务能力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2655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有所提升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122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533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医保宣传能力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2655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显著提升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11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533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医保标准化水平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2655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显著提升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90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533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医保综合监管能力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2655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显著提升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266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满意度指标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服务对象满意度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参保人员对医保服务的满意度（%）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≥90%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  <w:tr>
        <w:trPr>
          <w:trHeight w:val="366"/>
        </w:trPr>
        <w:tc>
          <w:tcPr>
            <w:tcBorders/>
            <w:tcMar>
              <w:left w:w="12" w:type="dxa"/>
              <w:top w:w="12" w:type="dxa"/>
              <w:right w:w="12" w:type="dxa"/>
            </w:tcMar>
            <w:tcW w:w="748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864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792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gridSpan w:val="2"/>
            <w:tcBorders/>
            <w:tcMar>
              <w:left w:w="12" w:type="dxa"/>
              <w:top w:w="12" w:type="dxa"/>
              <w:right w:w="12" w:type="dxa"/>
            </w:tcMar>
            <w:tcW w:w="4188" w:type="dxa"/>
            <w:vAlign w:val="bottom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政策知晓率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Borders/>
            <w:tcMar>
              <w:left w:w="12" w:type="dxa"/>
              <w:top w:w="12" w:type="dxa"/>
              <w:right w:w="12" w:type="dxa"/>
            </w:tcMar>
            <w:tcW w:w="1732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widowControl w:val="true"/>
              <w:suppressLineNumbers w:val="false"/>
              <w:pBdr/>
              <w:spacing/>
              <w:in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 xml:space="preserve">≥90%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r>
          </w:p>
        </w:tc>
      </w:tr>
    </w:tbl>
    <w:p>
      <w:pPr>
        <w:pStyle w:val="616"/>
        <w:keepNext w:val="false"/>
        <w:keepLines w:val="false"/>
        <w:widowControl w:val="true"/>
        <w:suppressLineNumbers w:val="false"/>
        <w:pBdr/>
        <w:spacing/>
        <w:ind/>
        <w:jc w:val="left"/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pP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  <w:r>
        <w:rPr>
          <w:rFonts w:ascii="宋体" w:hAnsi="宋体" w:eastAsia="宋体" w:cs="宋体"/>
          <w:i w:val="0"/>
          <w:color w:val="000000"/>
          <w:sz w:val="20"/>
          <w:szCs w:val="20"/>
          <w:u w:val="none"/>
          <w:lang w:val="en-US" w:eastAsia="zh-CN" w:bidi="ar"/>
        </w:rPr>
      </w:r>
    </w:p>
    <w:sectPr>
      <w:footnotePr/>
      <w:endnotePr/>
      <w:type w:val="nextPage"/>
      <w:pgSz w:h="16838" w:orient="landscape" w:w="11906"/>
      <w:pgMar w:top="1440" w:right="1803" w:bottom="1440" w:left="1803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3000509000000000000"/>
  </w:font>
  <w:font w:name="方正小标宋_GBK">
    <w:panose1 w:val="03000509000000000000"/>
  </w:font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qFormat/>
    <w:pPr>
      <w:pBdr/>
      <w:spacing/>
      <w:ind/>
    </w:pPr>
  </w:style>
  <w:style w:type="table" w:styleId="618">
    <w:name w:val="普通表格"/>
    <w:next w:val="618"/>
    <w:link w:val="616"/>
    <w:semiHidden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9">
    <w:name w:val="网格型"/>
    <w:basedOn w:val="618"/>
    <w:next w:val="619"/>
    <w:link w:val="616"/>
    <w:qFormat/>
    <w:pPr>
      <w:widowControl w:val="false"/>
      <w:pBdr/>
      <w:spacing/>
      <w:ind/>
      <w:jc w:val="both"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0">
    <w:name w:val="font21"/>
    <w:basedOn w:val="617"/>
    <w:next w:val="620"/>
    <w:link w:val="616"/>
    <w:qFormat/>
    <w:pPr>
      <w:pBdr/>
      <w:spacing/>
      <w:ind/>
    </w:pPr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621">
    <w:name w:val="font31"/>
    <w:basedOn w:val="617"/>
    <w:next w:val="621"/>
    <w:link w:val="616"/>
    <w:qFormat/>
    <w:pPr>
      <w:pBdr/>
      <w:spacing/>
      <w:ind/>
    </w:pPr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styleId="622">
    <w:name w:val="font01"/>
    <w:basedOn w:val="617"/>
    <w:next w:val="622"/>
    <w:link w:val="616"/>
    <w:qFormat/>
    <w:pPr>
      <w:pBdr/>
      <w:spacing/>
      <w:ind/>
    </w:pPr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styleId="623">
    <w:name w:val="font41"/>
    <w:basedOn w:val="617"/>
    <w:next w:val="623"/>
    <w:link w:val="616"/>
    <w:qFormat/>
    <w:pPr>
      <w:pBdr/>
      <w:spacing/>
      <w:ind/>
    </w:pPr>
    <w:rPr>
      <w:rFonts w:ascii="Times New Roman" w:hAnsi="Times New Roman" w:eastAsia="宋体" w:cs="Times New Roman"/>
      <w:color w:val="000000"/>
      <w:sz w:val="22"/>
      <w:szCs w:val="22"/>
      <w:u w:val="none"/>
    </w:rPr>
  </w:style>
  <w:style w:type="character" w:styleId="624">
    <w:name w:val="font71"/>
    <w:basedOn w:val="617"/>
    <w:next w:val="624"/>
    <w:link w:val="616"/>
    <w:qFormat/>
    <w:pPr>
      <w:pBdr/>
      <w:spacing/>
      <w:ind/>
    </w:pPr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styleId="625">
    <w:name w:val="font11"/>
    <w:basedOn w:val="617"/>
    <w:next w:val="625"/>
    <w:link w:val="616"/>
    <w:qFormat/>
    <w:pPr>
      <w:pBdr/>
      <w:spacing/>
      <w:ind/>
    </w:pPr>
    <w:rPr>
      <w:rFonts w:ascii="仿宋_GB2312" w:hAnsi="Times New Roman" w:eastAsia="仿宋_GB2312" w:cs="仿宋_GB2312"/>
      <w:color w:val="000000"/>
      <w:sz w:val="30"/>
      <w:szCs w:val="30"/>
      <w:u w:val="none"/>
    </w:rPr>
  </w:style>
  <w:style w:type="character" w:styleId="2018" w:default="1">
    <w:name w:val="Default Paragraph Font"/>
    <w:uiPriority w:val="1"/>
    <w:semiHidden/>
    <w:unhideWhenUsed/>
    <w:pPr>
      <w:pBdr/>
      <w:spacing/>
      <w:ind/>
    </w:pPr>
  </w:style>
  <w:style w:type="numbering" w:styleId="2019" w:default="1">
    <w:name w:val="No List"/>
    <w:uiPriority w:val="99"/>
    <w:semiHidden/>
    <w:unhideWhenUsed/>
    <w:pPr>
      <w:pBdr/>
      <w:spacing/>
      <w:ind/>
    </w:pPr>
  </w:style>
  <w:style w:type="table" w:styleId="202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</dc:creator>
  <cp:lastModifiedBy>匿名</cp:lastModifiedBy>
  <cp:revision>1</cp:revision>
  <dcterms:created xsi:type="dcterms:W3CDTF">2014-10-29T12:08:00Z</dcterms:created>
  <dcterms:modified xsi:type="dcterms:W3CDTF">2024-05-26T13:29:45Z</dcterms:modified>
</cp:coreProperties>
</file>