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b w:val="0"/>
          <w:bCs/>
          <w:sz w:val="44"/>
          <w:szCs w:val="44"/>
          <w:lang w:val="en-US" w:eastAsia="zh-CN"/>
        </w:rPr>
      </w:pPr>
      <w:r>
        <w:rPr>
          <w:sz w:val="44"/>
        </w:rPr>
        <mc:AlternateContent>
          <mc:Choice Requires="wps">
            <w:drawing>
              <wp:anchor distT="0" distB="0" distL="114300" distR="114300" simplePos="0" relativeHeight="251659264" behindDoc="0" locked="0" layoutInCell="1" hidden="1" allowOverlap="1">
                <wp:simplePos x="0" y="0"/>
                <wp:positionH relativeFrom="column">
                  <wp:posOffset>-1271905</wp:posOffset>
                </wp:positionH>
                <wp:positionV relativeFrom="paragraph">
                  <wp:posOffset>-787400</wp:posOffset>
                </wp:positionV>
                <wp:extent cx="63500" cy="63500"/>
                <wp:effectExtent l="6350" t="6350" r="6350" b="6350"/>
                <wp:wrapNone/>
                <wp:docPr id="1" name="KGD_Gobal1" descr="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" style="position:absolute;left:0pt;margin-left:-100.15pt;margin-top:-62pt;height:5pt;width:5pt;visibility:hidden;z-index:251659264;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">
                <v:fill on="t" focussize="0,0"/>
                <v:stroke weight="1pt" color="#41719C [3204]" miterlimit="8" joinstyle="miter"/>
                <v:imagedata o:title=""/>
                <o:lock v:ext="edit" aspectratio="f"/>
              </v:rect>
            </w:pict>
          </mc:Fallback>
        </mc:AlternateContent>
      </w:r>
      <w:r>
        <w:rPr>
          <w:rFonts w:hint="default" w:ascii="Times New Roman" w:hAnsi="Times New Roman" w:eastAsia="方正小标宋_GBK" w:cs="Times New Roman"/>
          <w:b w:val="0"/>
          <w:bCs/>
          <w:sz w:val="44"/>
          <w:szCs w:val="44"/>
          <w:lang w:val="en-US" w:eastAsia="zh-CN"/>
        </w:rPr>
        <w:t>梁河县财政局关于下达2022年中央</w:t>
      </w:r>
    </w:p>
    <w:p>
      <w:pPr>
        <w:jc w:val="center"/>
        <w:rPr>
          <w:rFonts w:hint="default" w:ascii="Times New Roman" w:hAnsi="Times New Roman" w:eastAsia="方正小标宋_GBK" w:cs="Times New Roman"/>
          <w:b w:val="0"/>
          <w:bCs/>
          <w:color w:val="000000" w:themeColor="text1"/>
          <w:sz w:val="44"/>
          <w:szCs w:val="44"/>
          <w14:textFill>
            <w14:solidFill>
              <w14:schemeClr w14:val="tx1"/>
            </w14:solidFill>
          </w14:textFill>
        </w:rPr>
      </w:pPr>
      <w:r>
        <w:rPr>
          <w:rFonts w:hint="default" w:ascii="Times New Roman" w:hAnsi="Times New Roman" w:eastAsia="方正小标宋_GBK" w:cs="Times New Roman"/>
          <w:b w:val="0"/>
          <w:bCs/>
          <w:sz w:val="44"/>
          <w:szCs w:val="44"/>
          <w:lang w:val="en-US" w:eastAsia="zh-CN"/>
        </w:rPr>
        <w:t>农村危房改造补助资金的通知</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ascii="仿宋_GB2312" w:hAnsi="仿宋_GB2312"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梁河县住房和城乡建设局：</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为认真贯彻落实《中共中央 国务院关于实现巩固拓展脱贫攻坚成果同乡村振兴有效衔接的意见》精神，继续实施农村危房改造和地震高烈度设防地区农房抗震改造，逐步建立农村低收入人口住房安全保障长效机制，</w:t>
      </w:r>
      <w:r>
        <w:rPr>
          <w:rFonts w:hint="default" w:ascii="Times New Roman" w:hAnsi="Times New Roman" w:eastAsia="方正仿宋_GBK" w:cs="Times New Roman"/>
          <w:sz w:val="32"/>
          <w:szCs w:val="32"/>
          <w:lang w:val="en-US" w:eastAsia="zh-CN"/>
        </w:rPr>
        <w:t>根据《</w:t>
      </w:r>
      <w:r>
        <w:rPr>
          <w:rFonts w:hint="default" w:ascii="Times New Roman" w:hAnsi="Times New Roman" w:eastAsia="方正仿宋_GBK" w:cs="Times New Roman"/>
          <w:sz w:val="32"/>
          <w:szCs w:val="32"/>
          <w:lang w:eastAsia="zh-CN"/>
        </w:rPr>
        <w:t>德宏州财政局 德宏州住房和城乡建设局关于下达2022年中央农村危房改造补助资金的通知</w:t>
      </w:r>
      <w:r>
        <w:rPr>
          <w:rFonts w:hint="default" w:ascii="Times New Roman" w:hAnsi="Times New Roman" w:eastAsia="方正仿宋_GBK" w:cs="Times New Roman"/>
          <w:sz w:val="32"/>
          <w:szCs w:val="32"/>
          <w:lang w:val="en-US" w:eastAsia="zh-CN"/>
        </w:rPr>
        <w:t>》（德财社〔2022〕96号），</w:t>
      </w:r>
      <w:r>
        <w:rPr>
          <w:rFonts w:hint="default" w:ascii="Times New Roman" w:hAnsi="Times New Roman" w:eastAsia="方正仿宋_GBK" w:cs="Times New Roman"/>
          <w:sz w:val="32"/>
          <w:szCs w:val="32"/>
          <w:lang w:eastAsia="zh-CN"/>
        </w:rPr>
        <w:t>结合我县易返贫致贫户、低保户、分散供养特困人员、因病因灾意外事故等刚性支出较大或收入大幅缩减导致基本生活出现严重困难家庭等对象危房改造和农房抗震改造（以下统称“危房改造”）需求、财力情况、工作绩效、政策支持等因素，按照《德宏州住房和城乡建设局关于请给予拨付2022年中央农村危房改造补助资金的函》（德建函〔2022〕104号），现下达你县市2022年中央农村危房改造补助资金（具体金额详见附件）。现将有关事项通知如下：</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lang w:eastAsia="zh-CN"/>
        </w:rPr>
        <w:t>2022年中央财政补助资金用于农村低收入群体等重点对象危房改造和农房抗震改造支出。该项资金收入列入 2022年政府收支分类科目“1100258住房保障共同财政事权转移支付收入”，支出列入“2210105农村危房改造”，</w:t>
      </w:r>
      <w:r>
        <w:rPr>
          <w:rFonts w:hint="default" w:ascii="Times New Roman" w:hAnsi="Times New Roman" w:eastAsia="方正仿宋_GBK" w:cs="Times New Roman"/>
          <w:sz w:val="32"/>
          <w:szCs w:val="32"/>
          <w:lang w:val="en-US" w:eastAsia="zh-CN"/>
        </w:rPr>
        <w:t>政府及部门支出经济分类科目，请根据该项目要求和实际情况按照《</w:t>
      </w:r>
      <w:r>
        <w:rPr>
          <w:rFonts w:hint="eastAsia" w:ascii="Times New Roman" w:hAnsi="Times New Roman" w:eastAsia="方正仿宋_GBK" w:cs="Times New Roman"/>
          <w:sz w:val="32"/>
          <w:szCs w:val="32"/>
          <w:lang w:val="en-US" w:eastAsia="zh-CN"/>
        </w:rPr>
        <w:t>中华人民共和国</w:t>
      </w:r>
      <w:r>
        <w:rPr>
          <w:rFonts w:hint="default" w:ascii="Times New Roman" w:hAnsi="Times New Roman" w:eastAsia="方正仿宋_GBK" w:cs="Times New Roman"/>
          <w:sz w:val="32"/>
          <w:szCs w:val="32"/>
          <w:lang w:val="en-US" w:eastAsia="zh-CN"/>
        </w:rPr>
        <w:t>预算法》和财政资金相关管理规定列支。</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lang w:eastAsia="zh-CN"/>
        </w:rPr>
        <w:t>此次下达的补助资金列入直达资金管理，该项直达资金的标识为“01中央直达资金”，贯穿资金分配、拨付、使用等整个环节，且保持不变。</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lang w:eastAsia="zh-CN"/>
        </w:rPr>
        <w:t>安排给脱贫县的资金，按照财政部等11个部委《关于继续支持脱贫县统筹整合使用财政涉农资金工作的通知》（财农〔2021〕22号）有关规定执行。</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lang w:eastAsia="zh-CN"/>
        </w:rPr>
        <w:t>请对农村脱贫户实施住房安全动态监测，发现住房安全问题要</w:t>
      </w:r>
      <w:r>
        <w:rPr>
          <w:rFonts w:hint="eastAsia" w:ascii="Times New Roman" w:hAnsi="Times New Roman" w:eastAsia="方正仿宋_GBK" w:cs="Times New Roman"/>
          <w:sz w:val="32"/>
          <w:szCs w:val="32"/>
          <w:lang w:eastAsia="zh-CN"/>
        </w:rPr>
        <w:t>建立工作台账</w:t>
      </w:r>
      <w:bookmarkStart w:id="0" w:name="_GoBack"/>
      <w:bookmarkEnd w:id="0"/>
      <w:r>
        <w:rPr>
          <w:rFonts w:hint="default" w:ascii="Times New Roman" w:hAnsi="Times New Roman" w:eastAsia="方正仿宋_GBK" w:cs="Times New Roman"/>
          <w:sz w:val="32"/>
          <w:szCs w:val="32"/>
          <w:lang w:eastAsia="zh-CN"/>
        </w:rPr>
        <w:t>、及时解决，符合条件的及时纳入危房改造范围，确保脱贫户住房安全应保尽保。要细化落实措施，对于符合条件对象的危房，做到及时发现、及时改造，实现农村低收入群体等重点对象住房安全有保障，科学合理设定补助标准，加强质量安全管理，因地制宜推广各类适宜农房技术方法和住房保障方式。实施危房改造应同步达到当地抗震设防标准。鼓励有条件的地区结合农村危房改造和抗震改造，同步实施农房节能改造，提高农房保温隔热性能，降低建筑能耗。</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五、为进一步加强预算绩效管理，切实提高财政资金使用效益，按照《中共中央 国务院关于全面实施预算绩效管理的意见》要求，请在组织预算执行中对照区域绩效目标做好绩效监控，确保年度绩效目标如期实现。</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六、住房城乡建设部门要与县财政密切合作，按照《财政部 住房城乡建设部关于印发〈中央财政农村危房改造补助资金管理暂行办法〉的通知》（财社〔2022〕42号）等要求，加强对农村危房改造补助资金的使用管理，加快预算执行进度，提高资金使用效益，避免闲置浪费。</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七、请单位收到文件后，于3日内在预算管理一体化系统中挂接项目，完成挂接项目后请电话通知行财股（3019051）。如未按时限挂接项目导致资金无法正常使用，</w:t>
      </w:r>
      <w:r>
        <w:rPr>
          <w:sz w:val="32"/>
        </w:rPr>
        <mc:AlternateContent>
          <mc:Choice Requires="wps">
            <w:drawing>
              <wp:anchor distT="0" distB="0" distL="114300" distR="114300" simplePos="0" relativeHeight="251660288" behindDoc="0" locked="0" layoutInCell="1" allowOverlap="1">
                <wp:simplePos x="0" y="0"/>
                <wp:positionH relativeFrom="column">
                  <wp:posOffset>-4925060</wp:posOffset>
                </wp:positionH>
                <wp:positionV relativeFrom="paragraph">
                  <wp:posOffset>-6260465</wp:posOffset>
                </wp:positionV>
                <wp:extent cx="15120620" cy="21384260"/>
                <wp:effectExtent l="0" t="0" r="0" b="0"/>
                <wp:wrapNone/>
                <wp:docPr id="3" name="KG_Shd_4"/>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4" o:spid="_x0000_s1026" o:spt="1" style="position:absolute;left:0pt;margin-left:-387.8pt;margin-top:-492.95pt;height:1683.8pt;width:1190.6pt;z-index:251660288;v-text-anchor:middle;mso-width-relative:page;mso-height-relative:page;" fillcolor="#FFFFFF" filled="t" stroked="t" coordsize="21600,21600" o:gfxdata="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ZgwJK3AAAAA8BAAAPAAAAAAAAAAEAIAAAACIAAABkcnMv&#10;ZG93bnJldi54bWxQSwECFAAUAAAACACHTuJA2CUiH3ECAAAxBQAADgAAAAAAAAABACAAAAArAQAA&#10;ZHJzL2Uyb0RvYy54bWxQSwUGAAAAAAYABgBZAQAADgY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sz w:val="32"/>
          <w:szCs w:val="32"/>
          <w:lang w:val="en-US" w:eastAsia="zh-CN"/>
        </w:rPr>
        <w:t>由各单位自行负责。</w:t>
      </w: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附件：1.2022年中央农村危房改造补助资金分配表</w:t>
      </w:r>
    </w:p>
    <w:p>
      <w:pPr>
        <w:ind w:firstLine="1600" w:firstLineChars="5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2.省级对地方转移支付区域绩效目标表</w:t>
      </w:r>
    </w:p>
    <w:p>
      <w:pPr>
        <w:jc w:val="both"/>
        <w:rPr>
          <w:rFonts w:hint="default" w:ascii="Times New Roman" w:hAnsi="Times New Roman" w:eastAsia="方正仿宋_GBK" w:cs="Times New Roman"/>
          <w:sz w:val="32"/>
          <w:szCs w:val="32"/>
          <w:lang w:val="en-US" w:eastAsia="zh-CN"/>
        </w:rPr>
      </w:pPr>
    </w:p>
    <w:p>
      <w:pPr>
        <w:jc w:val="both"/>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760" w:firstLineChars="18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梁河县财政</w:t>
      </w:r>
      <w:r>
        <w:rPr>
          <w:rFonts w:hint="default" w:ascii="Times New Roman" w:hAnsi="Times New Roman" w:eastAsia="方正仿宋_GBK" w:cs="Times New Roman"/>
          <w:sz w:val="32"/>
          <w:szCs w:val="32"/>
        </w:rPr>
        <w:t>局</w:t>
      </w:r>
    </w:p>
    <w:p>
      <w:pPr>
        <w:keepNext w:val="0"/>
        <w:keepLines w:val="0"/>
        <w:pageBreakBefore w:val="0"/>
        <w:widowControl w:val="0"/>
        <w:kinsoku/>
        <w:wordWrap/>
        <w:overflowPunct/>
        <w:topLinePunct w:val="0"/>
        <w:autoSpaceDE/>
        <w:autoSpaceDN/>
        <w:bidi w:val="0"/>
        <w:adjustRightInd/>
        <w:snapToGrid w:val="0"/>
        <w:spacing w:line="560" w:lineRule="exact"/>
        <w:ind w:firstLine="5440" w:firstLineChars="17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月</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lang w:eastAsia="zh-CN"/>
        </w:rPr>
        <w:t>日</w:t>
      </w:r>
    </w:p>
    <w:p>
      <w:pPr>
        <w:keepNext w:val="0"/>
        <w:keepLines w:val="0"/>
        <w:pageBreakBefore w:val="0"/>
        <w:widowControl w:val="0"/>
        <w:kinsoku/>
        <w:wordWrap/>
        <w:overflowPunct/>
        <w:topLinePunct w:val="0"/>
        <w:autoSpaceDE/>
        <w:autoSpaceDN/>
        <w:bidi w:val="0"/>
        <w:adjustRightInd/>
        <w:snapToGrid w:val="0"/>
        <w:spacing w:line="560" w:lineRule="exact"/>
        <w:ind w:firstLine="4200" w:firstLineChars="1500"/>
        <w:jc w:val="both"/>
        <w:textAlignment w:val="auto"/>
        <w:rPr>
          <w:rFonts w:hint="default" w:ascii="Times New Roman" w:hAnsi="Times New Roman" w:eastAsia="方正仿宋_GBK" w:cs="Times New Roman"/>
          <w:sz w:val="28"/>
          <w:szCs w:val="28"/>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4200" w:firstLineChars="1500"/>
        <w:jc w:val="both"/>
        <w:textAlignment w:val="auto"/>
        <w:rPr>
          <w:rFonts w:hint="default" w:ascii="Times New Roman" w:hAnsi="Times New Roman" w:eastAsia="方正仿宋_GBK" w:cs="Times New Roman"/>
          <w:sz w:val="28"/>
          <w:szCs w:val="28"/>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4200" w:firstLineChars="1500"/>
        <w:jc w:val="both"/>
        <w:textAlignment w:val="auto"/>
        <w:rPr>
          <w:rFonts w:hint="default" w:ascii="Times New Roman" w:hAnsi="Times New Roman" w:eastAsia="方正仿宋_GBK" w:cs="Times New Roman"/>
          <w:sz w:val="28"/>
          <w:szCs w:val="28"/>
          <w:lang w:val="en-US" w:eastAsia="zh-CN"/>
        </w:rPr>
        <w:sectPr>
          <w:pgSz w:w="11906" w:h="16838"/>
          <w:pgMar w:top="1440" w:right="1803" w:bottom="1440" w:left="1803" w:header="851" w:footer="992" w:gutter="0"/>
          <w:cols w:space="0" w:num="1"/>
          <w:rtlGutter w:val="0"/>
          <w:docGrid w:type="lines" w:linePitch="325" w:charSpace="0"/>
        </w:sectPr>
      </w:pP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640" w:rightChars="0" w:firstLine="0" w:firstLineChars="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center"/>
        <w:textAlignment w:val="auto"/>
        <w:rPr>
          <w:rFonts w:hint="eastAsia" w:eastAsia="方正仿宋_GBK" w:cs="Times New Roman"/>
          <w:b w:val="0"/>
          <w:bCs w:val="0"/>
          <w:sz w:val="32"/>
          <w:szCs w:val="32"/>
          <w:lang w:val="en-US" w:eastAsia="zh-CN"/>
        </w:rPr>
      </w:pPr>
      <w:r>
        <w:rPr>
          <w:rFonts w:hint="eastAsia" w:ascii="黑体" w:hAnsi="黑体" w:eastAsia="黑体" w:cs="黑体"/>
          <w:sz w:val="32"/>
          <w:szCs w:val="32"/>
          <w:lang w:val="en-US" w:eastAsia="zh-CN"/>
        </w:rPr>
        <w:t>2022年中央农村危房改造补助资金分配表</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640" w:rightChars="0" w:firstLine="0" w:firstLineChars="0"/>
        <w:jc w:val="right"/>
        <w:textAlignment w:val="auto"/>
        <w:outlineLvl w:val="9"/>
        <w:rPr>
          <w:rFonts w:hint="default" w:ascii="Times New Roman" w:hAnsi="Times New Roman" w:eastAsia="黑体" w:cs="Times New Roman"/>
          <w:b w:val="0"/>
          <w:bCs w:val="0"/>
          <w:sz w:val="32"/>
          <w:szCs w:val="32"/>
          <w:lang w:val="en-US" w:eastAsia="zh-CN"/>
        </w:rPr>
      </w:pPr>
      <w:r>
        <w:rPr>
          <w:rFonts w:hint="eastAsia" w:eastAsia="方正仿宋_GBK" w:cs="Times New Roman"/>
          <w:b w:val="0"/>
          <w:bCs w:val="0"/>
          <w:sz w:val="32"/>
          <w:szCs w:val="32"/>
          <w:lang w:val="en-US" w:eastAsia="zh-CN"/>
        </w:rPr>
        <w:t xml:space="preserve">                                金额单位：万元</w:t>
      </w:r>
      <w:r>
        <w:rPr>
          <w:rFonts w:hint="default" w:ascii="Times New Roman" w:hAnsi="Times New Roman" w:eastAsia="方正仿宋_GBK" w:cs="Times New Roman"/>
          <w:b w:val="0"/>
          <w:bCs w:val="0"/>
          <w:sz w:val="32"/>
          <w:szCs w:val="32"/>
          <w:lang w:val="en-US" w:eastAsia="zh-CN"/>
        </w:rPr>
        <w:t xml:space="preserve">                                 </w:t>
      </w:r>
    </w:p>
    <w:tbl>
      <w:tblPr>
        <w:tblStyle w:val="4"/>
        <w:tblW w:w="14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0"/>
        <w:gridCol w:w="1215"/>
        <w:gridCol w:w="1714"/>
        <w:gridCol w:w="1245"/>
        <w:gridCol w:w="2700"/>
        <w:gridCol w:w="1691"/>
        <w:gridCol w:w="2449"/>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90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napToGrid w:val="0"/>
                <w:spacing w:val="-11"/>
                <w:kern w:val="0"/>
                <w:sz w:val="30"/>
                <w:szCs w:val="30"/>
                <w:lang w:val="en-US" w:eastAsia="zh-CN"/>
              </w:rPr>
            </w:pPr>
            <w:r>
              <w:rPr>
                <w:rFonts w:hint="eastAsia" w:ascii="Times New Roman" w:hAnsi="Times New Roman" w:eastAsia="方正仿宋_GBK" w:cs="Times New Roman"/>
                <w:b w:val="0"/>
                <w:bCs w:val="0"/>
                <w:spacing w:val="-11"/>
                <w:sz w:val="30"/>
                <w:szCs w:val="30"/>
                <w:lang w:val="en-US" w:eastAsia="zh-CN"/>
              </w:rPr>
              <w:t>单位</w:t>
            </w:r>
          </w:p>
        </w:tc>
        <w:tc>
          <w:tcPr>
            <w:tcW w:w="4174"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pacing w:val="-11"/>
                <w:sz w:val="30"/>
                <w:szCs w:val="30"/>
                <w:lang w:val="en-US" w:eastAsia="zh-CN"/>
              </w:rPr>
            </w:pPr>
            <w:r>
              <w:rPr>
                <w:rFonts w:hint="eastAsia" w:ascii="Times New Roman" w:hAnsi="Times New Roman" w:eastAsia="方正仿宋_GBK" w:cs="Times New Roman"/>
                <w:b w:val="0"/>
                <w:bCs w:val="0"/>
                <w:spacing w:val="-11"/>
                <w:sz w:val="30"/>
                <w:szCs w:val="30"/>
                <w:lang w:val="en-US" w:eastAsia="zh-CN"/>
              </w:rPr>
              <w:t>补助资金</w:t>
            </w:r>
          </w:p>
        </w:tc>
        <w:tc>
          <w:tcPr>
            <w:tcW w:w="8895"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pacing w:val="-11"/>
                <w:sz w:val="30"/>
                <w:szCs w:val="30"/>
                <w:lang w:val="en-US" w:eastAsia="zh-CN"/>
              </w:rPr>
            </w:pPr>
            <w:r>
              <w:rPr>
                <w:rFonts w:hint="eastAsia" w:ascii="Times New Roman" w:hAnsi="Times New Roman" w:eastAsia="方正仿宋_GBK" w:cs="Times New Roman"/>
                <w:b w:val="0"/>
                <w:bCs w:val="0"/>
                <w:spacing w:val="-11"/>
                <w:sz w:val="30"/>
                <w:szCs w:val="30"/>
                <w:lang w:val="en-US" w:eastAsia="zh-CN"/>
              </w:rPr>
              <w:t>2022年农村危房改造和农房抗震改造任务数</w:t>
            </w:r>
            <w:r>
              <w:rPr>
                <w:rFonts w:hint="eastAsia" w:eastAsia="方正仿宋_GBK" w:cs="Times New Roman"/>
                <w:b w:val="0"/>
                <w:bCs w:val="0"/>
                <w:spacing w:val="-11"/>
                <w:sz w:val="30"/>
                <w:szCs w:val="30"/>
                <w:lang w:val="en-US" w:eastAsia="zh-CN"/>
              </w:rPr>
              <w:t>及补助金额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90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640" w:rightChars="0" w:firstLine="0" w:firstLineChars="0"/>
              <w:jc w:val="center"/>
              <w:textAlignment w:val="auto"/>
              <w:outlineLvl w:val="9"/>
              <w:rPr>
                <w:rFonts w:hint="default" w:ascii="Times New Roman" w:hAnsi="Times New Roman" w:eastAsia="方正仿宋_GBK" w:cs="Times New Roman"/>
                <w:b w:val="0"/>
                <w:bCs w:val="0"/>
                <w:spacing w:val="-11"/>
                <w:sz w:val="30"/>
                <w:szCs w:val="30"/>
                <w:lang w:val="en-US" w:eastAsia="zh-CN"/>
              </w:rPr>
            </w:pPr>
          </w:p>
        </w:tc>
        <w:tc>
          <w:tcPr>
            <w:tcW w:w="121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pacing w:val="-11"/>
                <w:sz w:val="30"/>
                <w:szCs w:val="30"/>
                <w:lang w:val="en-US" w:eastAsia="zh-CN"/>
              </w:rPr>
            </w:pPr>
            <w:r>
              <w:rPr>
                <w:rFonts w:hint="eastAsia" w:eastAsia="方正仿宋_GBK" w:cs="Times New Roman"/>
                <w:b w:val="0"/>
                <w:bCs w:val="0"/>
                <w:spacing w:val="-11"/>
                <w:sz w:val="30"/>
                <w:szCs w:val="30"/>
                <w:lang w:val="en-US" w:eastAsia="zh-CN"/>
              </w:rPr>
              <w:t>合 计</w:t>
            </w:r>
          </w:p>
        </w:tc>
        <w:tc>
          <w:tcPr>
            <w:tcW w:w="171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pacing w:val="-11"/>
                <w:sz w:val="30"/>
                <w:szCs w:val="30"/>
                <w:lang w:val="en-US" w:eastAsia="zh-CN"/>
              </w:rPr>
            </w:pPr>
            <w:r>
              <w:rPr>
                <w:rFonts w:hint="eastAsia" w:ascii="Times New Roman" w:hAnsi="Times New Roman" w:eastAsia="方正仿宋_GBK" w:cs="Times New Roman"/>
                <w:b w:val="0"/>
                <w:bCs w:val="0"/>
                <w:spacing w:val="-11"/>
                <w:sz w:val="30"/>
                <w:szCs w:val="30"/>
                <w:lang w:val="en-US" w:eastAsia="zh-CN"/>
              </w:rPr>
              <w:t>已</w:t>
            </w:r>
            <w:r>
              <w:rPr>
                <w:rFonts w:hint="default" w:ascii="Times New Roman" w:hAnsi="Times New Roman" w:eastAsia="方正仿宋_GBK" w:cs="Times New Roman"/>
                <w:b w:val="0"/>
                <w:bCs w:val="0"/>
                <w:spacing w:val="-11"/>
                <w:sz w:val="30"/>
                <w:szCs w:val="30"/>
                <w:lang w:val="en-US" w:eastAsia="zh-CN"/>
              </w:rPr>
              <w:t>下达资金</w:t>
            </w:r>
          </w:p>
        </w:tc>
        <w:tc>
          <w:tcPr>
            <w:tcW w:w="124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pacing w:val="-11"/>
                <w:sz w:val="30"/>
                <w:szCs w:val="30"/>
                <w:lang w:val="en-US" w:eastAsia="zh-CN"/>
              </w:rPr>
            </w:pPr>
            <w:r>
              <w:rPr>
                <w:rFonts w:hint="eastAsia" w:ascii="Times New Roman" w:hAnsi="Times New Roman" w:eastAsia="方正仿宋_GBK" w:cs="Times New Roman"/>
                <w:b w:val="0"/>
                <w:bCs w:val="0"/>
                <w:spacing w:val="-11"/>
                <w:sz w:val="30"/>
                <w:szCs w:val="30"/>
                <w:lang w:val="en-US" w:eastAsia="zh-CN"/>
              </w:rPr>
              <w:t>本次下达资金</w:t>
            </w:r>
          </w:p>
        </w:tc>
        <w:tc>
          <w:tcPr>
            <w:tcW w:w="270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Times New Roman" w:hAnsi="Times New Roman" w:eastAsia="方正仿宋_GBK" w:cs="Times New Roman"/>
                <w:b w:val="0"/>
                <w:bCs w:val="0"/>
                <w:spacing w:val="-11"/>
                <w:sz w:val="30"/>
                <w:szCs w:val="30"/>
                <w:lang w:val="en-US" w:eastAsia="zh-CN"/>
              </w:rPr>
            </w:pPr>
            <w:r>
              <w:rPr>
                <w:rFonts w:hint="eastAsia" w:ascii="Times New Roman" w:hAnsi="Times New Roman" w:eastAsia="方正仿宋_GBK" w:cs="Times New Roman"/>
                <w:b w:val="0"/>
                <w:bCs w:val="0"/>
                <w:spacing w:val="-11"/>
                <w:sz w:val="30"/>
                <w:szCs w:val="30"/>
                <w:lang w:val="en-US" w:eastAsia="zh-CN"/>
              </w:rPr>
              <w:t>农村危房改造年度目标任务数（户）</w:t>
            </w:r>
          </w:p>
        </w:tc>
        <w:tc>
          <w:tcPr>
            <w:tcW w:w="169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Times New Roman" w:hAnsi="Times New Roman" w:eastAsia="方正仿宋_GBK" w:cs="Times New Roman"/>
                <w:b w:val="0"/>
                <w:bCs w:val="0"/>
                <w:spacing w:val="-11"/>
                <w:sz w:val="30"/>
                <w:szCs w:val="30"/>
                <w:lang w:val="en-US" w:eastAsia="zh-CN"/>
              </w:rPr>
            </w:pPr>
            <w:r>
              <w:rPr>
                <w:rFonts w:hint="eastAsia" w:ascii="Times New Roman" w:hAnsi="Times New Roman" w:eastAsia="方正仿宋_GBK" w:cs="Times New Roman"/>
                <w:b w:val="0"/>
                <w:bCs w:val="0"/>
                <w:spacing w:val="-11"/>
                <w:sz w:val="30"/>
                <w:szCs w:val="30"/>
                <w:lang w:val="en-US" w:eastAsia="zh-CN"/>
              </w:rPr>
              <w:t>农村危房改造</w:t>
            </w:r>
            <w:r>
              <w:rPr>
                <w:rFonts w:hint="eastAsia" w:eastAsia="方正仿宋_GBK" w:cs="Times New Roman"/>
                <w:b w:val="0"/>
                <w:bCs w:val="0"/>
                <w:spacing w:val="-11"/>
                <w:sz w:val="30"/>
                <w:szCs w:val="30"/>
                <w:lang w:val="en-US" w:eastAsia="zh-CN"/>
              </w:rPr>
              <w:t>补助资金</w:t>
            </w:r>
          </w:p>
        </w:tc>
        <w:tc>
          <w:tcPr>
            <w:tcW w:w="244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Times New Roman" w:hAnsi="Times New Roman" w:eastAsia="方正仿宋_GBK" w:cs="Times New Roman"/>
                <w:b w:val="0"/>
                <w:bCs w:val="0"/>
                <w:spacing w:val="-11"/>
                <w:sz w:val="30"/>
                <w:szCs w:val="30"/>
                <w:lang w:val="en-US" w:eastAsia="zh-CN"/>
              </w:rPr>
            </w:pPr>
            <w:r>
              <w:rPr>
                <w:rFonts w:hint="eastAsia" w:ascii="Times New Roman" w:hAnsi="Times New Roman" w:eastAsia="方正仿宋_GBK" w:cs="Times New Roman"/>
                <w:b w:val="0"/>
                <w:bCs w:val="0"/>
                <w:spacing w:val="-11"/>
                <w:sz w:val="30"/>
                <w:szCs w:val="30"/>
                <w:lang w:val="en-US" w:eastAsia="zh-CN"/>
              </w:rPr>
              <w:t>农房抗震改造年度目标任务数（户）</w:t>
            </w:r>
          </w:p>
        </w:tc>
        <w:tc>
          <w:tcPr>
            <w:tcW w:w="20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Times New Roman" w:hAnsi="Times New Roman" w:eastAsia="方正仿宋_GBK" w:cs="Times New Roman"/>
                <w:b w:val="0"/>
                <w:bCs w:val="0"/>
                <w:spacing w:val="-11"/>
                <w:sz w:val="30"/>
                <w:szCs w:val="30"/>
                <w:lang w:val="en-US" w:eastAsia="zh-CN"/>
              </w:rPr>
            </w:pPr>
            <w:r>
              <w:rPr>
                <w:rFonts w:hint="eastAsia" w:ascii="Times New Roman" w:hAnsi="Times New Roman" w:eastAsia="方正仿宋_GBK" w:cs="Times New Roman"/>
                <w:b w:val="0"/>
                <w:bCs w:val="0"/>
                <w:spacing w:val="-11"/>
                <w:sz w:val="30"/>
                <w:szCs w:val="30"/>
                <w:lang w:val="en-US" w:eastAsia="zh-CN"/>
              </w:rPr>
              <w:t>农房抗震改造</w:t>
            </w:r>
            <w:r>
              <w:rPr>
                <w:rFonts w:hint="eastAsia" w:eastAsia="方正仿宋_GBK" w:cs="Times New Roman"/>
                <w:b w:val="0"/>
                <w:bCs w:val="0"/>
                <w:spacing w:val="-11"/>
                <w:sz w:val="30"/>
                <w:szCs w:val="30"/>
                <w:lang w:val="en-US" w:eastAsia="zh-CN"/>
              </w:rPr>
              <w:t>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190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pacing w:val="-11"/>
                <w:sz w:val="30"/>
                <w:szCs w:val="30"/>
                <w:lang w:val="en-US" w:eastAsia="zh-CN"/>
              </w:rPr>
            </w:pPr>
            <w:r>
              <w:rPr>
                <w:rFonts w:hint="eastAsia" w:ascii="仿宋_GB2312" w:hAnsi="仿宋_GB2312" w:eastAsia="仿宋_GB2312" w:cs="Times New Roman"/>
                <w:sz w:val="32"/>
                <w:szCs w:val="32"/>
                <w:lang w:eastAsia="zh-CN"/>
              </w:rPr>
              <w:t>梁河县住房和城乡建设局</w:t>
            </w:r>
          </w:p>
        </w:tc>
        <w:tc>
          <w:tcPr>
            <w:tcW w:w="121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pacing w:val="-11"/>
                <w:sz w:val="30"/>
                <w:szCs w:val="30"/>
                <w:lang w:val="en-US" w:eastAsia="zh-CN"/>
              </w:rPr>
            </w:pPr>
            <w:r>
              <w:rPr>
                <w:rFonts w:hint="eastAsia" w:ascii="Times New Roman" w:hAnsi="Times New Roman" w:eastAsia="方正仿宋_GBK" w:cs="Times New Roman"/>
                <w:b w:val="0"/>
                <w:bCs w:val="0"/>
                <w:spacing w:val="-11"/>
                <w:sz w:val="30"/>
                <w:szCs w:val="30"/>
                <w:lang w:val="en-US" w:eastAsia="zh-CN"/>
              </w:rPr>
              <w:t>266</w:t>
            </w:r>
          </w:p>
        </w:tc>
        <w:tc>
          <w:tcPr>
            <w:tcW w:w="171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pacing w:val="-11"/>
                <w:sz w:val="30"/>
                <w:szCs w:val="30"/>
                <w:lang w:val="en-US" w:eastAsia="zh-CN"/>
              </w:rPr>
            </w:pPr>
            <w:r>
              <w:rPr>
                <w:rFonts w:hint="default" w:ascii="Times New Roman" w:hAnsi="Times New Roman" w:eastAsia="方正仿宋_GBK" w:cs="Times New Roman"/>
                <w:b w:val="0"/>
                <w:bCs w:val="0"/>
                <w:spacing w:val="-11"/>
                <w:sz w:val="30"/>
                <w:szCs w:val="30"/>
                <w:lang w:val="en-US" w:eastAsia="zh-CN"/>
              </w:rPr>
              <w:t>60</w:t>
            </w:r>
          </w:p>
        </w:tc>
        <w:tc>
          <w:tcPr>
            <w:tcW w:w="124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pacing w:val="-11"/>
                <w:sz w:val="30"/>
                <w:szCs w:val="30"/>
                <w:lang w:val="en-US" w:eastAsia="zh-CN"/>
              </w:rPr>
            </w:pPr>
            <w:r>
              <w:rPr>
                <w:rFonts w:hint="eastAsia" w:ascii="Times New Roman" w:hAnsi="Times New Roman" w:eastAsia="方正仿宋_GBK" w:cs="Times New Roman"/>
                <w:b w:val="0"/>
                <w:bCs w:val="0"/>
                <w:spacing w:val="-11"/>
                <w:sz w:val="30"/>
                <w:szCs w:val="30"/>
                <w:lang w:val="en-US" w:eastAsia="zh-CN"/>
              </w:rPr>
              <w:t>206</w:t>
            </w:r>
          </w:p>
        </w:tc>
        <w:tc>
          <w:tcPr>
            <w:tcW w:w="270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pacing w:val="-11"/>
                <w:sz w:val="30"/>
                <w:szCs w:val="30"/>
                <w:lang w:val="en-US" w:eastAsia="zh-CN"/>
              </w:rPr>
            </w:pPr>
            <w:r>
              <w:rPr>
                <w:rFonts w:hint="eastAsia" w:ascii="Times New Roman" w:hAnsi="Times New Roman" w:eastAsia="方正仿宋_GBK" w:cs="Times New Roman"/>
                <w:b w:val="0"/>
                <w:bCs w:val="0"/>
                <w:spacing w:val="-11"/>
                <w:sz w:val="30"/>
                <w:szCs w:val="30"/>
                <w:lang w:val="en-US" w:eastAsia="zh-CN"/>
              </w:rPr>
              <w:t>0</w:t>
            </w:r>
          </w:p>
        </w:tc>
        <w:tc>
          <w:tcPr>
            <w:tcW w:w="169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Times New Roman" w:hAnsi="Times New Roman" w:eastAsia="方正仿宋_GBK" w:cs="Times New Roman"/>
                <w:b w:val="0"/>
                <w:bCs w:val="0"/>
                <w:spacing w:val="-11"/>
                <w:sz w:val="30"/>
                <w:szCs w:val="30"/>
                <w:lang w:val="en-US" w:eastAsia="zh-CN"/>
              </w:rPr>
            </w:pPr>
          </w:p>
        </w:tc>
        <w:tc>
          <w:tcPr>
            <w:tcW w:w="244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pacing w:val="-11"/>
                <w:sz w:val="30"/>
                <w:szCs w:val="30"/>
                <w:lang w:val="en-US" w:eastAsia="zh-CN"/>
              </w:rPr>
            </w:pPr>
            <w:r>
              <w:rPr>
                <w:rFonts w:hint="eastAsia" w:ascii="Times New Roman" w:hAnsi="Times New Roman" w:eastAsia="方正仿宋_GBK" w:cs="Times New Roman"/>
                <w:b w:val="0"/>
                <w:bCs w:val="0"/>
                <w:spacing w:val="-11"/>
                <w:sz w:val="30"/>
                <w:szCs w:val="30"/>
                <w:lang w:val="en-US" w:eastAsia="zh-CN"/>
              </w:rPr>
              <w:t>266</w:t>
            </w:r>
          </w:p>
        </w:tc>
        <w:tc>
          <w:tcPr>
            <w:tcW w:w="20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pacing w:val="-11"/>
                <w:sz w:val="32"/>
                <w:szCs w:val="32"/>
                <w:lang w:val="en-US" w:eastAsia="zh-CN"/>
              </w:rPr>
            </w:pPr>
            <w:r>
              <w:rPr>
                <w:rFonts w:hint="eastAsia" w:eastAsia="方正仿宋_GBK" w:cs="Times New Roman"/>
                <w:b w:val="0"/>
                <w:bCs w:val="0"/>
                <w:spacing w:val="-11"/>
                <w:sz w:val="32"/>
                <w:szCs w:val="32"/>
                <w:lang w:val="en-US" w:eastAsia="zh-CN"/>
              </w:rPr>
              <w:t>266</w:t>
            </w:r>
          </w:p>
        </w:tc>
      </w:tr>
    </w:tbl>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sectPr>
          <w:pgSz w:w="16838" w:h="11906" w:orient="landscape"/>
          <w:pgMar w:top="1797" w:right="1440" w:bottom="1797" w:left="1440" w:header="851" w:footer="992" w:gutter="0"/>
          <w:pgNumType w:fmt="decimal"/>
          <w:cols w:space="0" w:num="1"/>
          <w:rtlGutter w:val="0"/>
          <w:docGrid w:type="lines" w:linePitch="319" w:charSpace="0"/>
        </w:sectPr>
      </w:pP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640" w:rightChars="0" w:firstLine="0" w:firstLineChars="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省级对地方转移支付区域绩效目标表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val="en-US" w:eastAsia="zh-CN"/>
        </w:rPr>
        <w:t>2</w:t>
      </w:r>
      <w:r>
        <w:rPr>
          <w:rFonts w:hint="default" w:ascii="Times New Roman" w:hAnsi="Times New Roman" w:eastAsia="方正仿宋_GBK" w:cs="Times New Roman"/>
          <w:sz w:val="21"/>
          <w:szCs w:val="21"/>
        </w:rPr>
        <w:t>年度）</w:t>
      </w:r>
    </w:p>
    <w:p>
      <w:pPr>
        <w:keepNext w:val="0"/>
        <w:keepLines w:val="0"/>
        <w:pageBreakBefore w:val="0"/>
        <w:widowControl w:val="0"/>
        <w:kinsoku/>
        <w:wordWrap/>
        <w:overflowPunct/>
        <w:topLinePunct w:val="0"/>
        <w:autoSpaceDE/>
        <w:autoSpaceDN/>
        <w:bidi w:val="0"/>
        <w:adjustRightInd/>
        <w:snapToGrid/>
        <w:spacing w:line="20" w:lineRule="exact"/>
        <w:jc w:val="center"/>
        <w:textAlignment w:val="auto"/>
        <w:rPr>
          <w:rFonts w:hint="eastAsia" w:ascii="Times New Roman" w:hAnsi="Times New Roman" w:eastAsia="方正仿宋_GBK" w:cs="Times New Roman"/>
          <w:sz w:val="21"/>
          <w:szCs w:val="21"/>
        </w:rPr>
      </w:pPr>
    </w:p>
    <w:tbl>
      <w:tblPr>
        <w:tblStyle w:val="4"/>
        <w:tblpPr w:leftFromText="180" w:rightFromText="180" w:vertAnchor="text" w:horzAnchor="page" w:tblpX="1252" w:tblpY="166"/>
        <w:tblOverlap w:val="never"/>
        <w:tblW w:w="9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645"/>
        <w:gridCol w:w="507"/>
        <w:gridCol w:w="1368"/>
        <w:gridCol w:w="905"/>
        <w:gridCol w:w="2295"/>
        <w:gridCol w:w="595"/>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907"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中央财政</w:t>
            </w:r>
            <w:r>
              <w:rPr>
                <w:rFonts w:hint="default" w:ascii="Times New Roman" w:hAnsi="Times New Roman" w:eastAsia="方正仿宋_GBK" w:cs="Times New Roman"/>
                <w:sz w:val="21"/>
                <w:szCs w:val="21"/>
              </w:rPr>
              <w:t>农村危房改造补助资金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7907"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云南省住房和城乡建设厅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752"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州级</w:t>
            </w:r>
            <w:r>
              <w:rPr>
                <w:rFonts w:hint="default" w:ascii="Times New Roman" w:hAnsi="Times New Roman" w:eastAsia="方正仿宋_GBK" w:cs="Times New Roman"/>
                <w:sz w:val="21"/>
                <w:szCs w:val="21"/>
              </w:rPr>
              <w:t>财政部门</w:t>
            </w:r>
          </w:p>
        </w:tc>
        <w:tc>
          <w:tcPr>
            <w:tcW w:w="227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德宏州财政局</w:t>
            </w:r>
          </w:p>
        </w:tc>
        <w:tc>
          <w:tcPr>
            <w:tcW w:w="229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州级</w:t>
            </w:r>
            <w:r>
              <w:rPr>
                <w:rFonts w:hint="default" w:ascii="Times New Roman" w:hAnsi="Times New Roman" w:eastAsia="方正仿宋_GBK" w:cs="Times New Roman"/>
                <w:sz w:val="21"/>
                <w:szCs w:val="21"/>
              </w:rPr>
              <w:t>主管部门</w:t>
            </w:r>
          </w:p>
        </w:tc>
        <w:tc>
          <w:tcPr>
            <w:tcW w:w="3339"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德宏州</w:t>
            </w:r>
            <w:r>
              <w:rPr>
                <w:rFonts w:hint="default" w:ascii="Times New Roman" w:hAnsi="Times New Roman" w:eastAsia="方正仿宋_GBK" w:cs="Times New Roman"/>
                <w:sz w:val="21"/>
                <w:szCs w:val="21"/>
              </w:rPr>
              <w:t>住房</w:t>
            </w:r>
            <w:r>
              <w:rPr>
                <w:rFonts w:hint="default" w:ascii="Times New Roman" w:hAnsi="Times New Roman" w:eastAsia="方正仿宋_GBK" w:cs="Times New Roman"/>
                <w:sz w:val="21"/>
                <w:szCs w:val="21"/>
                <w:lang w:eastAsia="zh-CN"/>
              </w:rPr>
              <w:t>和</w:t>
            </w:r>
            <w:r>
              <w:rPr>
                <w:rFonts w:hint="default" w:ascii="Times New Roman" w:hAnsi="Times New Roman" w:eastAsia="方正仿宋_GBK" w:cs="Times New Roman"/>
                <w:sz w:val="21"/>
                <w:szCs w:val="21"/>
              </w:rPr>
              <w:t>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245"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资金情况（万元）</w:t>
            </w:r>
          </w:p>
        </w:tc>
        <w:tc>
          <w:tcPr>
            <w:tcW w:w="5075"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下达资金总额</w:t>
            </w:r>
          </w:p>
        </w:tc>
        <w:tc>
          <w:tcPr>
            <w:tcW w:w="3339"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245"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1"/>
                <w:szCs w:val="21"/>
                <w:lang w:eastAsia="zh-CN"/>
              </w:rPr>
            </w:pPr>
          </w:p>
        </w:tc>
        <w:tc>
          <w:tcPr>
            <w:tcW w:w="5075"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其中：中央财政补助</w:t>
            </w:r>
          </w:p>
        </w:tc>
        <w:tc>
          <w:tcPr>
            <w:tcW w:w="3339"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kern w:val="2"/>
                <w:sz w:val="21"/>
                <w:szCs w:val="21"/>
                <w:lang w:val="en-US" w:eastAsia="zh-CN" w:bidi="ar-SA"/>
              </w:rPr>
            </w:pPr>
            <w:r>
              <w:rPr>
                <w:rFonts w:hint="eastAsia" w:eastAsia="方正仿宋_GBK" w:cs="Times New Roman"/>
                <w:kern w:val="2"/>
                <w:sz w:val="21"/>
                <w:szCs w:val="21"/>
                <w:lang w:val="en-US" w:eastAsia="zh-CN" w:bidi="ar-SA"/>
              </w:rPr>
              <w:t>4727（本次下达3981）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245"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1"/>
                <w:szCs w:val="21"/>
                <w:lang w:eastAsia="zh-CN"/>
              </w:rPr>
            </w:pPr>
          </w:p>
        </w:tc>
        <w:tc>
          <w:tcPr>
            <w:tcW w:w="8414"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地方资金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752"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年度</w:t>
            </w:r>
            <w:r>
              <w:rPr>
                <w:rFonts w:hint="default" w:ascii="Times New Roman" w:hAnsi="Times New Roman" w:eastAsia="方正仿宋_GBK" w:cs="Times New Roman"/>
                <w:sz w:val="21"/>
                <w:szCs w:val="21"/>
              </w:rPr>
              <w:t>总体目标</w:t>
            </w:r>
          </w:p>
        </w:tc>
        <w:tc>
          <w:tcPr>
            <w:tcW w:w="7907"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eastAsia="zh-CN"/>
              </w:rPr>
              <w:t>支持</w:t>
            </w:r>
            <w:r>
              <w:rPr>
                <w:rFonts w:hint="eastAsia" w:eastAsia="方正仿宋_GBK" w:cs="Times New Roman"/>
                <w:sz w:val="21"/>
                <w:szCs w:val="21"/>
                <w:lang w:val="en-US" w:eastAsia="zh-CN"/>
              </w:rPr>
              <w:t>农村低收入等重点对象实施农房改造和农房抗震改造，保障其基本住房安全</w:t>
            </w:r>
            <w:r>
              <w:rPr>
                <w:rFonts w:hint="default" w:ascii="Times New Roman" w:hAnsi="Times New Roman" w:eastAsia="方正仿宋_GBK"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600"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绩效指标</w:t>
            </w:r>
          </w:p>
        </w:tc>
        <w:tc>
          <w:tcPr>
            <w:tcW w:w="1152"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一级目标</w:t>
            </w:r>
          </w:p>
        </w:tc>
        <w:tc>
          <w:tcPr>
            <w:tcW w:w="13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二级目标</w:t>
            </w:r>
          </w:p>
        </w:tc>
        <w:tc>
          <w:tcPr>
            <w:tcW w:w="3795"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三级目标</w:t>
            </w:r>
          </w:p>
        </w:tc>
        <w:tc>
          <w:tcPr>
            <w:tcW w:w="274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60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tc>
        <w:tc>
          <w:tcPr>
            <w:tcW w:w="1152" w:type="dxa"/>
            <w:gridSpan w:val="2"/>
            <w:vMerge w:val="restart"/>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1368"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795"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lang w:val="en-US" w:eastAsia="zh-CN"/>
              </w:rPr>
            </w:pPr>
            <w:r>
              <w:rPr>
                <w:rFonts w:hint="eastAsia" w:eastAsia="方正仿宋_GBK" w:cs="Times New Roman"/>
                <w:sz w:val="21"/>
                <w:szCs w:val="21"/>
                <w:lang w:val="en-US" w:eastAsia="zh-CN"/>
              </w:rPr>
              <w:t>农村危房改造任务户数</w:t>
            </w:r>
          </w:p>
        </w:tc>
        <w:tc>
          <w:tcPr>
            <w:tcW w:w="274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w:t>
            </w:r>
            <w:r>
              <w:rPr>
                <w:rFonts w:hint="eastAsia" w:eastAsia="方正仿宋_GBK" w:cs="Times New Roman"/>
                <w:sz w:val="21"/>
                <w:szCs w:val="21"/>
                <w:lang w:val="en-US" w:eastAsia="zh-CN"/>
              </w:rPr>
              <w:t>166户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60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tc>
        <w:tc>
          <w:tcPr>
            <w:tcW w:w="1152"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tc>
        <w:tc>
          <w:tcPr>
            <w:tcW w:w="136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tc>
        <w:tc>
          <w:tcPr>
            <w:tcW w:w="3795"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农房抗震改造</w:t>
            </w:r>
            <w:r>
              <w:rPr>
                <w:rFonts w:hint="default" w:ascii="Times New Roman" w:hAnsi="Times New Roman" w:eastAsia="方正仿宋_GBK" w:cs="Times New Roman"/>
                <w:sz w:val="21"/>
                <w:szCs w:val="21"/>
                <w:lang w:val="en-US" w:eastAsia="zh-CN"/>
              </w:rPr>
              <w:t>任务</w:t>
            </w:r>
            <w:r>
              <w:rPr>
                <w:rFonts w:hint="eastAsia" w:eastAsia="方正仿宋_GBK" w:cs="Times New Roman"/>
                <w:sz w:val="21"/>
                <w:szCs w:val="21"/>
                <w:lang w:val="en-US" w:eastAsia="zh-CN"/>
              </w:rPr>
              <w:t>户数</w:t>
            </w:r>
          </w:p>
        </w:tc>
        <w:tc>
          <w:tcPr>
            <w:tcW w:w="274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w:t>
            </w:r>
            <w:r>
              <w:rPr>
                <w:rFonts w:hint="eastAsia" w:eastAsia="方正仿宋_GBK" w:cs="Times New Roman"/>
                <w:sz w:val="21"/>
                <w:szCs w:val="21"/>
                <w:lang w:val="en-US" w:eastAsia="zh-CN"/>
              </w:rPr>
              <w:t>4516户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0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tc>
        <w:tc>
          <w:tcPr>
            <w:tcW w:w="1152"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tc>
        <w:tc>
          <w:tcPr>
            <w:tcW w:w="1368"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3795"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rPr>
              <w:t>改造后房屋验收合格</w:t>
            </w:r>
            <w:r>
              <w:rPr>
                <w:rFonts w:hint="default" w:ascii="Times New Roman" w:hAnsi="Times New Roman" w:eastAsia="方正仿宋_GBK" w:cs="Times New Roman"/>
                <w:sz w:val="21"/>
                <w:szCs w:val="21"/>
                <w:lang w:val="en-US" w:eastAsia="zh-CN"/>
              </w:rPr>
              <w:t>率</w:t>
            </w:r>
          </w:p>
        </w:tc>
        <w:tc>
          <w:tcPr>
            <w:tcW w:w="274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0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tc>
        <w:tc>
          <w:tcPr>
            <w:tcW w:w="1152"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tc>
        <w:tc>
          <w:tcPr>
            <w:tcW w:w="136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tc>
        <w:tc>
          <w:tcPr>
            <w:tcW w:w="3795"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lang w:val="en-US" w:eastAsia="zh-CN"/>
              </w:rPr>
            </w:pPr>
            <w:r>
              <w:rPr>
                <w:rFonts w:hint="eastAsia" w:eastAsia="方正仿宋_GBK" w:cs="Times New Roman"/>
                <w:sz w:val="21"/>
                <w:szCs w:val="21"/>
                <w:lang w:val="en-US" w:eastAsia="zh-CN"/>
              </w:rPr>
              <w:t>农房设计</w:t>
            </w:r>
          </w:p>
        </w:tc>
        <w:tc>
          <w:tcPr>
            <w:tcW w:w="274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lang w:val="en-US" w:eastAsia="zh-CN"/>
              </w:rPr>
            </w:pPr>
            <w:r>
              <w:rPr>
                <w:rFonts w:hint="eastAsia" w:eastAsia="方正仿宋_GBK" w:cs="Times New Roman"/>
                <w:sz w:val="21"/>
                <w:szCs w:val="21"/>
                <w:lang w:val="en-US" w:eastAsia="zh-CN"/>
              </w:rPr>
              <w:t>有基本设计或采用标准图集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0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tc>
        <w:tc>
          <w:tcPr>
            <w:tcW w:w="1152"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tc>
        <w:tc>
          <w:tcPr>
            <w:tcW w:w="13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3795"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lang w:val="en-US" w:eastAsia="zh-CN"/>
              </w:rPr>
            </w:pPr>
            <w:r>
              <w:rPr>
                <w:rFonts w:hint="eastAsia" w:eastAsia="方正仿宋_GBK" w:cs="Times New Roman"/>
                <w:sz w:val="21"/>
                <w:szCs w:val="21"/>
                <w:lang w:val="en-US" w:eastAsia="zh-CN"/>
              </w:rPr>
              <w:t>危房改造和农房抗震改造</w:t>
            </w:r>
            <w:r>
              <w:rPr>
                <w:rFonts w:hint="default" w:ascii="Times New Roman" w:hAnsi="Times New Roman" w:eastAsia="方正仿宋_GBK" w:cs="Times New Roman"/>
                <w:sz w:val="21"/>
                <w:szCs w:val="21"/>
                <w:lang w:val="en-US" w:eastAsia="zh-CN"/>
              </w:rPr>
              <w:t>开工率</w:t>
            </w:r>
          </w:p>
        </w:tc>
        <w:tc>
          <w:tcPr>
            <w:tcW w:w="274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0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tc>
        <w:tc>
          <w:tcPr>
            <w:tcW w:w="1152"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tc>
        <w:tc>
          <w:tcPr>
            <w:tcW w:w="13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tc>
        <w:tc>
          <w:tcPr>
            <w:tcW w:w="3795"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lang w:val="en-US" w:eastAsia="zh-CN"/>
              </w:rPr>
            </w:pPr>
            <w:r>
              <w:rPr>
                <w:rFonts w:hint="eastAsia" w:eastAsia="方正仿宋_GBK" w:cs="Times New Roman"/>
                <w:sz w:val="21"/>
                <w:szCs w:val="21"/>
                <w:lang w:val="en-US" w:eastAsia="zh-CN"/>
              </w:rPr>
              <w:t>危房改造和实施农房抗震改造工作竣工率</w:t>
            </w:r>
          </w:p>
        </w:tc>
        <w:tc>
          <w:tcPr>
            <w:tcW w:w="274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r>
              <w:rPr>
                <w:rFonts w:hint="eastAsia" w:eastAsia="方正仿宋_GBK" w:cs="Times New Roman"/>
                <w:sz w:val="21"/>
                <w:szCs w:val="21"/>
                <w:lang w:val="en-US" w:eastAsia="zh-CN"/>
              </w:rPr>
              <w:t>80</w:t>
            </w:r>
            <w:r>
              <w:rPr>
                <w:rFonts w:hint="default" w:ascii="Times New Roman" w:hAnsi="Times New Roman" w:eastAsia="方正仿宋_GBK"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60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tc>
        <w:tc>
          <w:tcPr>
            <w:tcW w:w="1152"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tc>
        <w:tc>
          <w:tcPr>
            <w:tcW w:w="1368"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3795"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eastAsia="zh-CN"/>
              </w:rPr>
              <w:t>农村</w:t>
            </w:r>
            <w:r>
              <w:rPr>
                <w:rFonts w:hint="default" w:ascii="Times New Roman" w:hAnsi="Times New Roman" w:eastAsia="方正仿宋_GBK" w:cs="Times New Roman"/>
                <w:sz w:val="21"/>
                <w:szCs w:val="21"/>
                <w:lang w:val="en-US" w:eastAsia="zh-CN"/>
              </w:rPr>
              <w:t>低收入群体</w:t>
            </w:r>
            <w:r>
              <w:rPr>
                <w:rFonts w:hint="default" w:ascii="Times New Roman" w:hAnsi="Times New Roman" w:eastAsia="方正仿宋_GBK" w:cs="Times New Roman"/>
                <w:sz w:val="21"/>
                <w:szCs w:val="21"/>
                <w:lang w:eastAsia="zh-CN"/>
              </w:rPr>
              <w:t>危房改造</w:t>
            </w:r>
            <w:r>
              <w:rPr>
                <w:rFonts w:hint="default" w:ascii="Times New Roman" w:hAnsi="Times New Roman" w:eastAsia="方正仿宋_GBK" w:cs="Times New Roman"/>
                <w:sz w:val="21"/>
                <w:szCs w:val="21"/>
              </w:rPr>
              <w:t>执行分类分级补助标准</w:t>
            </w:r>
            <w:r>
              <w:rPr>
                <w:rFonts w:hint="eastAsia" w:eastAsia="方正仿宋_GBK" w:cs="Times New Roman"/>
                <w:sz w:val="21"/>
                <w:szCs w:val="21"/>
                <w:lang w:val="en-US" w:eastAsia="zh-CN"/>
              </w:rPr>
              <w:t>执行率</w:t>
            </w:r>
          </w:p>
        </w:tc>
        <w:tc>
          <w:tcPr>
            <w:tcW w:w="274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0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tc>
        <w:tc>
          <w:tcPr>
            <w:tcW w:w="1152"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tc>
        <w:tc>
          <w:tcPr>
            <w:tcW w:w="136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tc>
        <w:tc>
          <w:tcPr>
            <w:tcW w:w="3795"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lang w:val="en-US" w:eastAsia="zh-CN"/>
              </w:rPr>
              <w:t>一户一方案</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lang w:val="en-US" w:eastAsia="zh-CN"/>
              </w:rPr>
              <w:t>改造方式执行率</w:t>
            </w:r>
          </w:p>
        </w:tc>
        <w:tc>
          <w:tcPr>
            <w:tcW w:w="274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0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tc>
        <w:tc>
          <w:tcPr>
            <w:tcW w:w="1152" w:type="dxa"/>
            <w:gridSpan w:val="2"/>
            <w:vMerge w:val="restart"/>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1368"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社会效益指标</w:t>
            </w:r>
          </w:p>
        </w:tc>
        <w:tc>
          <w:tcPr>
            <w:tcW w:w="3795"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改造后房屋在相当于本地区抗震设防烈度地震中表现</w:t>
            </w:r>
          </w:p>
        </w:tc>
        <w:tc>
          <w:tcPr>
            <w:tcW w:w="2744"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无严重损毁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60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tc>
        <w:tc>
          <w:tcPr>
            <w:tcW w:w="1152"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136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3795"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装配式、绿色建筑、节能改造等新型建筑技术应用率</w:t>
            </w:r>
          </w:p>
        </w:tc>
        <w:tc>
          <w:tcPr>
            <w:tcW w:w="2744"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60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tc>
        <w:tc>
          <w:tcPr>
            <w:tcW w:w="1152"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136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3795"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lang w:val="en-US" w:eastAsia="zh-CN"/>
              </w:rPr>
            </w:pPr>
            <w:r>
              <w:rPr>
                <w:rFonts w:hint="eastAsia" w:eastAsia="方正仿宋_GBK" w:cs="Times New Roman"/>
                <w:sz w:val="21"/>
                <w:szCs w:val="21"/>
                <w:lang w:val="en-US" w:eastAsia="zh-CN"/>
              </w:rPr>
              <w:t>乡村振兴重点帮扶县按照统筹整合使用财政涉农资金的相关要求，将资金统筹安排使用</w:t>
            </w:r>
          </w:p>
        </w:tc>
        <w:tc>
          <w:tcPr>
            <w:tcW w:w="2744"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lang w:val="en-US" w:eastAsia="zh-CN"/>
              </w:rPr>
            </w:pPr>
            <w:r>
              <w:rPr>
                <w:rFonts w:hint="eastAsia" w:eastAsia="方正仿宋_GBK" w:cs="Times New Roman"/>
                <w:sz w:val="21"/>
                <w:szCs w:val="21"/>
                <w:lang w:val="en-US" w:eastAsia="zh-CN"/>
              </w:rPr>
              <w:t>按照财政部等11部门《关于继续支持脱贫县统筹整合使用财政涉农资金工作的通知》（</w:t>
            </w:r>
            <w:r>
              <w:rPr>
                <w:rFonts w:hint="eastAsia" w:ascii="Times New Roman" w:hAnsi="Times New Roman" w:eastAsia="方正仿宋_GBK" w:cs="Times New Roman"/>
                <w:sz w:val="21"/>
                <w:szCs w:val="21"/>
                <w:lang w:val="en-US" w:eastAsia="zh-CN"/>
              </w:rPr>
              <w:t>财农</w:t>
            </w:r>
            <w:r>
              <w:rPr>
                <w:rFonts w:hint="default" w:ascii="Times New Roman" w:hAnsi="Times New Roman" w:eastAsia="方正仿宋_GBK" w:cs="Times New Roman"/>
                <w:sz w:val="21"/>
                <w:szCs w:val="21"/>
                <w:lang w:val="en-US" w:eastAsia="zh-CN"/>
              </w:rPr>
              <w:t>〔202</w:t>
            </w:r>
            <w:r>
              <w:rPr>
                <w:rFonts w:hint="eastAsia" w:ascii="Times New Roman" w:hAnsi="Times New Roman" w:eastAsia="方正仿宋_GBK" w:cs="Times New Roman"/>
                <w:sz w:val="21"/>
                <w:szCs w:val="21"/>
                <w:lang w:val="en-US" w:eastAsia="zh-CN"/>
              </w:rPr>
              <w:t>2</w:t>
            </w:r>
            <w:r>
              <w:rPr>
                <w:rFonts w:hint="default" w:ascii="Times New Roman" w:hAnsi="Times New Roman" w:eastAsia="方正仿宋_GBK" w:cs="Times New Roman"/>
                <w:sz w:val="21"/>
                <w:szCs w:val="21"/>
                <w:lang w:val="en-US" w:eastAsia="zh-CN"/>
              </w:rPr>
              <w:t>〕</w:t>
            </w:r>
            <w:r>
              <w:rPr>
                <w:rFonts w:hint="eastAsia" w:ascii="Times New Roman" w:hAnsi="Times New Roman" w:eastAsia="方正仿宋_GBK" w:cs="Times New Roman"/>
                <w:sz w:val="21"/>
                <w:szCs w:val="21"/>
                <w:lang w:val="en-US" w:eastAsia="zh-CN"/>
              </w:rPr>
              <w:t>22号有关规定执行》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60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tc>
        <w:tc>
          <w:tcPr>
            <w:tcW w:w="1152"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1368"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可持续影响指标</w:t>
            </w:r>
          </w:p>
        </w:tc>
        <w:tc>
          <w:tcPr>
            <w:tcW w:w="3795"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农村危房改造后房屋保持安全期限</w:t>
            </w:r>
          </w:p>
        </w:tc>
        <w:tc>
          <w:tcPr>
            <w:tcW w:w="2744"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eastAsia="zh-CN"/>
              </w:rPr>
              <w:t>拆除重建的</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30年</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维修加固的</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15年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0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tc>
        <w:tc>
          <w:tcPr>
            <w:tcW w:w="1152"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满意度指标</w:t>
            </w:r>
          </w:p>
        </w:tc>
        <w:tc>
          <w:tcPr>
            <w:tcW w:w="1368"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rPr>
              <w:t>服务对象满意</w:t>
            </w:r>
            <w:r>
              <w:rPr>
                <w:rFonts w:hint="default" w:ascii="Times New Roman" w:hAnsi="Times New Roman" w:eastAsia="方正仿宋_GBK" w:cs="Times New Roman"/>
                <w:sz w:val="21"/>
                <w:szCs w:val="21"/>
                <w:lang w:val="en-US" w:eastAsia="zh-CN"/>
              </w:rPr>
              <w:t>度</w:t>
            </w:r>
          </w:p>
        </w:tc>
        <w:tc>
          <w:tcPr>
            <w:tcW w:w="3795"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受益群众</w:t>
            </w:r>
            <w:r>
              <w:rPr>
                <w:rFonts w:hint="default" w:ascii="Times New Roman" w:hAnsi="Times New Roman" w:eastAsia="方正仿宋_GBK" w:cs="Times New Roman"/>
                <w:sz w:val="21"/>
                <w:szCs w:val="21"/>
              </w:rPr>
              <w:t>满意度</w:t>
            </w:r>
          </w:p>
        </w:tc>
        <w:tc>
          <w:tcPr>
            <w:tcW w:w="274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bl>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sectPr>
      <w:pgSz w:w="11906" w:h="16838"/>
      <w:pgMar w:top="1440" w:right="1797" w:bottom="1440" w:left="1797"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dit="readOnly"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9405ABAD-C783-4E81-AF23-B35EBB452428}"/>
    <w:docVar w:name="DocumentName" w:val="梁财社〔2022〕121号关于下达 2022 年中央农村危房改造补助资金的通知“01 中央直达资金”"/>
  </w:docVars>
  <w:rsids>
    <w:rsidRoot w:val="00000000"/>
    <w:rsid w:val="00830B3A"/>
    <w:rsid w:val="019C4B69"/>
    <w:rsid w:val="06007873"/>
    <w:rsid w:val="0786416F"/>
    <w:rsid w:val="09745825"/>
    <w:rsid w:val="09E911F1"/>
    <w:rsid w:val="0AE5706E"/>
    <w:rsid w:val="0AE86FD7"/>
    <w:rsid w:val="0B0A6A71"/>
    <w:rsid w:val="0C83624D"/>
    <w:rsid w:val="0D3F0EEB"/>
    <w:rsid w:val="0DBC559A"/>
    <w:rsid w:val="0E2142A1"/>
    <w:rsid w:val="0FCB1CE9"/>
    <w:rsid w:val="102F7315"/>
    <w:rsid w:val="1091445F"/>
    <w:rsid w:val="11FC7480"/>
    <w:rsid w:val="12B67DF9"/>
    <w:rsid w:val="13A6267C"/>
    <w:rsid w:val="148005FB"/>
    <w:rsid w:val="157818E8"/>
    <w:rsid w:val="18763BA5"/>
    <w:rsid w:val="19B16135"/>
    <w:rsid w:val="19CF3670"/>
    <w:rsid w:val="1A1E05BA"/>
    <w:rsid w:val="1A7D6D85"/>
    <w:rsid w:val="1B9D1623"/>
    <w:rsid w:val="1C172982"/>
    <w:rsid w:val="1D815751"/>
    <w:rsid w:val="1D98605C"/>
    <w:rsid w:val="1DD646B6"/>
    <w:rsid w:val="1DEA7DC2"/>
    <w:rsid w:val="1E8F2BC0"/>
    <w:rsid w:val="1EA0242D"/>
    <w:rsid w:val="1EF15C06"/>
    <w:rsid w:val="1FC666FD"/>
    <w:rsid w:val="2108113C"/>
    <w:rsid w:val="21EC4467"/>
    <w:rsid w:val="227A5B2F"/>
    <w:rsid w:val="22A83ADD"/>
    <w:rsid w:val="2307485F"/>
    <w:rsid w:val="23494274"/>
    <w:rsid w:val="25766390"/>
    <w:rsid w:val="27327F13"/>
    <w:rsid w:val="279D33AE"/>
    <w:rsid w:val="27AC3A14"/>
    <w:rsid w:val="283B2521"/>
    <w:rsid w:val="28AC1ED8"/>
    <w:rsid w:val="29B33A60"/>
    <w:rsid w:val="2AD532F3"/>
    <w:rsid w:val="2B4D5322"/>
    <w:rsid w:val="2C213B0E"/>
    <w:rsid w:val="2DD77014"/>
    <w:rsid w:val="2F10570F"/>
    <w:rsid w:val="2F2819F8"/>
    <w:rsid w:val="315D7DA4"/>
    <w:rsid w:val="317967B1"/>
    <w:rsid w:val="32572CB0"/>
    <w:rsid w:val="32CB2F7B"/>
    <w:rsid w:val="34E51D3A"/>
    <w:rsid w:val="3782629D"/>
    <w:rsid w:val="380657E0"/>
    <w:rsid w:val="3A1145AF"/>
    <w:rsid w:val="3A7C3BF0"/>
    <w:rsid w:val="3B4E47EE"/>
    <w:rsid w:val="3B650222"/>
    <w:rsid w:val="3D1E75A7"/>
    <w:rsid w:val="3F6049B7"/>
    <w:rsid w:val="40C50F64"/>
    <w:rsid w:val="42253A94"/>
    <w:rsid w:val="422B0AC7"/>
    <w:rsid w:val="430D7783"/>
    <w:rsid w:val="43FA3136"/>
    <w:rsid w:val="44D7423A"/>
    <w:rsid w:val="45FF5F18"/>
    <w:rsid w:val="46325C42"/>
    <w:rsid w:val="46AF3BC9"/>
    <w:rsid w:val="47CC6BDA"/>
    <w:rsid w:val="47E257F5"/>
    <w:rsid w:val="49BF0020"/>
    <w:rsid w:val="4A14515D"/>
    <w:rsid w:val="4BE27134"/>
    <w:rsid w:val="4CF1183F"/>
    <w:rsid w:val="4D77008C"/>
    <w:rsid w:val="4D903DD3"/>
    <w:rsid w:val="4DE64F85"/>
    <w:rsid w:val="4E860116"/>
    <w:rsid w:val="4E8C28E4"/>
    <w:rsid w:val="4F0E1D90"/>
    <w:rsid w:val="4FC41F46"/>
    <w:rsid w:val="505209FD"/>
    <w:rsid w:val="53531498"/>
    <w:rsid w:val="54FE12AD"/>
    <w:rsid w:val="55BE3C17"/>
    <w:rsid w:val="5620087B"/>
    <w:rsid w:val="58940722"/>
    <w:rsid w:val="5A333888"/>
    <w:rsid w:val="5B2F6498"/>
    <w:rsid w:val="5D625B32"/>
    <w:rsid w:val="5E7043D0"/>
    <w:rsid w:val="5ED66A25"/>
    <w:rsid w:val="5EFE2C46"/>
    <w:rsid w:val="5F3A228A"/>
    <w:rsid w:val="60E11E53"/>
    <w:rsid w:val="61353447"/>
    <w:rsid w:val="62FB3F34"/>
    <w:rsid w:val="64AF6715"/>
    <w:rsid w:val="6633285F"/>
    <w:rsid w:val="6A855C4B"/>
    <w:rsid w:val="6BDF40EE"/>
    <w:rsid w:val="6CB564EF"/>
    <w:rsid w:val="6E0C4A49"/>
    <w:rsid w:val="6E175BAB"/>
    <w:rsid w:val="719515F5"/>
    <w:rsid w:val="719F2C97"/>
    <w:rsid w:val="73066F61"/>
    <w:rsid w:val="73262C99"/>
    <w:rsid w:val="73663EDE"/>
    <w:rsid w:val="73C2712E"/>
    <w:rsid w:val="74455E7F"/>
    <w:rsid w:val="75277D66"/>
    <w:rsid w:val="76460B34"/>
    <w:rsid w:val="76514837"/>
    <w:rsid w:val="76B8261D"/>
    <w:rsid w:val="78117866"/>
    <w:rsid w:val="78451356"/>
    <w:rsid w:val="78A94A62"/>
    <w:rsid w:val="7BA30EF9"/>
    <w:rsid w:val="7BD621F0"/>
    <w:rsid w:val="7C6061A4"/>
    <w:rsid w:val="7DB83FEE"/>
    <w:rsid w:val="7EF07283"/>
    <w:rsid w:val="7FD67F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page number"/>
    <w:basedOn w:val="5"/>
    <w:qFormat/>
    <w:uiPriority w:val="0"/>
    <w:rPr>
      <w:rFonts w:ascii="Times New Roman" w:hAnsi="Times New Roman" w:eastAsia="宋体" w:cs="Times New Roman"/>
    </w:rPr>
  </w:style>
  <w:style w:type="character" w:customStyle="1" w:styleId="7">
    <w:name w:val="font21"/>
    <w:basedOn w:val="5"/>
    <w:qFormat/>
    <w:uiPriority w:val="0"/>
    <w:rPr>
      <w:rFonts w:hint="eastAsia" w:ascii="宋体" w:hAnsi="宋体" w:eastAsia="宋体" w:cs="宋体"/>
      <w:color w:val="000000"/>
      <w:sz w:val="18"/>
      <w:szCs w:val="18"/>
      <w:u w:val="none"/>
    </w:rPr>
  </w:style>
  <w:style w:type="character" w:customStyle="1" w:styleId="8">
    <w:name w:val="font31"/>
    <w:basedOn w:val="5"/>
    <w:qFormat/>
    <w:uiPriority w:val="0"/>
    <w:rPr>
      <w:rFonts w:hint="eastAsia" w:ascii="宋体" w:hAnsi="宋体" w:eastAsia="宋体" w:cs="宋体"/>
      <w:color w:val="000000"/>
      <w:sz w:val="20"/>
      <w:szCs w:val="20"/>
      <w:u w:val="none"/>
    </w:rPr>
  </w:style>
  <w:style w:type="character" w:customStyle="1" w:styleId="9">
    <w:name w:val="font01"/>
    <w:basedOn w:val="5"/>
    <w:qFormat/>
    <w:uiPriority w:val="0"/>
    <w:rPr>
      <w:rFonts w:hint="eastAsia" w:ascii="宋体" w:hAnsi="宋体" w:eastAsia="宋体" w:cs="宋体"/>
      <w:b/>
      <w:color w:val="000000"/>
      <w:sz w:val="20"/>
      <w:szCs w:val="20"/>
      <w:u w:val="none"/>
    </w:rPr>
  </w:style>
  <w:style w:type="character" w:customStyle="1" w:styleId="10">
    <w:name w:val="font41"/>
    <w:basedOn w:val="5"/>
    <w:qFormat/>
    <w:uiPriority w:val="0"/>
    <w:rPr>
      <w:rFonts w:hint="default" w:ascii="Times New Roman" w:hAnsi="Times New Roman" w:eastAsia="宋体" w:cs="Times New Roman"/>
      <w:color w:val="000000"/>
      <w:sz w:val="22"/>
      <w:szCs w:val="22"/>
      <w:u w:val="none"/>
    </w:rPr>
  </w:style>
  <w:style w:type="character" w:customStyle="1" w:styleId="11">
    <w:name w:val="font71"/>
    <w:basedOn w:val="5"/>
    <w:qFormat/>
    <w:uiPriority w:val="0"/>
    <w:rPr>
      <w:rFonts w:hint="eastAsia" w:ascii="宋体" w:hAnsi="宋体" w:eastAsia="宋体" w:cs="宋体"/>
      <w:color w:val="000000"/>
      <w:sz w:val="28"/>
      <w:szCs w:val="28"/>
      <w:u w:val="none"/>
    </w:rPr>
  </w:style>
  <w:style w:type="character" w:customStyle="1" w:styleId="12">
    <w:name w:val="font11"/>
    <w:basedOn w:val="5"/>
    <w:qFormat/>
    <w:uiPriority w:val="0"/>
    <w:rPr>
      <w:rFonts w:hint="default" w:ascii="仿宋_GB2312" w:eastAsia="仿宋_GB2312" w:cs="仿宋_GB2312"/>
      <w:color w:val="000000"/>
      <w:sz w:val="30"/>
      <w:szCs w:val="3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Administrator.PCOS-1712151757</dc:creator>
  <cp:lastModifiedBy>花花世界</cp:lastModifiedBy>
  <cp:lastPrinted>2022-06-21T08:35:00Z</cp:lastPrinted>
  <dcterms:modified xsi:type="dcterms:W3CDTF">2024-05-27T03:08:30Z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8B1F7B1CF4B74278B8240027EFA96D14</vt:lpwstr>
  </property>
</Properties>
</file>