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梁财社〔2024〕12号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梁河县财政局关于下达2024年优抚对象</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_GBK" w:cs="Times New Roman"/>
          <w:bCs/>
          <w:spacing w:val="0"/>
          <w:sz w:val="44"/>
          <w:szCs w:val="44"/>
          <w:lang w:val="en-US" w:eastAsia="zh-CN"/>
        </w:rPr>
      </w:pPr>
      <w:r>
        <w:rPr>
          <w:rFonts w:hint="eastAsia" w:ascii="Times New Roman" w:hAnsi="Times New Roman" w:eastAsia="方正小标宋_GBK" w:cs="Times New Roman"/>
          <w:bCs/>
          <w:spacing w:val="0"/>
          <w:sz w:val="44"/>
          <w:szCs w:val="44"/>
          <w:lang w:val="en-US" w:eastAsia="zh-CN"/>
        </w:rPr>
        <w:t>医疗保障中央经费预算的通知</w:t>
      </w:r>
    </w:p>
    <w:p>
      <w:pPr>
        <w:jc w:val="both"/>
        <w:rPr>
          <w:rFonts w:hint="eastAsia" w:ascii="仿宋_GB2312" w:hAnsi="仿宋_GB2312" w:eastAsia="仿宋_GB2312" w:cs="仿宋_GB2312"/>
          <w:b/>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退役军人事务局关于提前下达2024年优抚对象医疗保障中央经费预算的通知》（德财社〔2024〕6号），现下达你单位2024年优抚对象医疗保障中央经费（具体金额详见附件），现将有关事项通知如下，请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一、该项指标收入列入2024年政府收支分类“1100249医疗卫生共同财政事权转移支付收入”，支出列入“2101401优抚对象医疗补助”科目，政府及部门支出经济分类科目，请根据该项目要求和实际情况按照《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军人抚恤优待条例》《退役军人事务部等6部门关于印发〈残疾退役军人医疗保障办法〉的通知》（退役军人部发〔2022〕3号）、《退役军人事务部等4部门关于印发〈优抚对象医疗保障办法〉的通知》（退役军人部发〔2022〕49号）和《财政部退役军人部 医保局关于修改退役安置等补助资金管理办法的通知》（财社〔2019〕225号）等有关文件规定，此次安排预算主要用于对一至六级残疾军人参加城镇职工基本医疗保险给予缴费补助，对符合条件的优抚对象给予医疗费用补助等方面。</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三、此次下达的补助资金列入直达资金管理，该项直达资金的标识为“01 中央直达资金”，各县市财政部门在下达直达资金预算指标时，项目名称应与上级财政部门预算指标发文中的有关项目保持一至，并准确标注直达资金标识；及时在指标管理系统中登录有关指标，导入直达监控系统，确保数据真实、账目清晰、流向明确。对于资金来源既包含中央直达资金又包含地方对应安排资金的项目，在预算指标文件、指标管理系统可按资金明细来源分别列示，在指标系统中分别登录；并按照直达资金管理要求，在直达资金监控系统内按时进行相关操作，同时切实加快资金支出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四、请各县市按照《中共中央 国务院关于全面实施预算绩效管理的意见》要求，做好绩效运行监控，切实提高财政资金使用效益，确保财政资金使用安全有效。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附件：1.2024年优抚对象医疗保障中央经费预算分配表</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2.2024年优抚对象医疗保障中央经费预算绩效目标表</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eastAsia"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10日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rPr>
          <w:rFonts w:hint="eastAsia" w:ascii="方正黑体_GBK" w:hAnsi="方正黑体_GBK" w:eastAsia="方正黑体_GBK" w:cs="方正黑体_GBK"/>
          <w:b w:val="0"/>
          <w:bCs/>
          <w:color w:val="auto"/>
          <w:sz w:val="32"/>
        </w:rPr>
      </w:pPr>
      <w:r>
        <w:rPr>
          <w:rFonts w:hint="eastAsia" w:ascii="方正黑体_GBK" w:hAnsi="方正黑体_GBK" w:eastAsia="方正黑体_GBK" w:cs="方正黑体_GBK"/>
          <w:b w:val="0"/>
          <w:bCs/>
          <w:color w:val="auto"/>
          <w:sz w:val="32"/>
        </w:rPr>
        <w:t>附件</w:t>
      </w:r>
      <w:r>
        <w:rPr>
          <w:rFonts w:hint="default" w:ascii="Times New Roman" w:hAnsi="Times New Roman" w:eastAsia="方正黑体_GBK" w:cs="Times New Roman"/>
          <w:b w:val="0"/>
          <w:bCs/>
          <w:color w:val="auto"/>
          <w:sz w:val="32"/>
        </w:rPr>
        <w:t>1</w:t>
      </w:r>
    </w:p>
    <w:p>
      <w:pPr>
        <w:jc w:val="center"/>
        <w:rPr>
          <w:rFonts w:hint="default" w:ascii="Times New Roman" w:hAnsi="Times New Roman" w:eastAsia="方正黑体_GBK" w:cs="Times New Roman"/>
          <w:color w:val="auto"/>
          <w:sz w:val="36"/>
          <w:szCs w:val="36"/>
        </w:rPr>
      </w:pPr>
      <w:r>
        <w:rPr>
          <w:rFonts w:hint="default" w:ascii="Times New Roman" w:hAnsi="Times New Roman" w:eastAsia="方正黑体_GBK" w:cs="Times New Roman"/>
          <w:color w:val="auto"/>
          <w:sz w:val="36"/>
          <w:szCs w:val="36"/>
        </w:rPr>
        <w:t>2024年优抚对象医疗保障中央经费预算分配表</w:t>
      </w:r>
    </w:p>
    <w:p>
      <w:pPr>
        <w:ind w:firstLine="6440" w:firstLineChars="23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单位:万元</w:t>
      </w:r>
    </w:p>
    <w:p>
      <w:pPr>
        <w:ind w:firstLine="6440" w:firstLineChars="2300"/>
        <w:jc w:val="left"/>
        <w:rPr>
          <w:rFonts w:hint="default" w:ascii="Times New Roman" w:hAnsi="Times New Roman" w:eastAsia="仿宋_GB2312" w:cs="Times New Roman"/>
          <w:color w:val="auto"/>
          <w:sz w:val="28"/>
          <w:szCs w:val="28"/>
        </w:rPr>
      </w:pPr>
    </w:p>
    <w:tbl>
      <w:tblPr>
        <w:tblStyle w:val="4"/>
        <w:tblpPr w:leftFromText="180" w:rightFromText="180" w:vertAnchor="text" w:horzAnchor="page" w:tblpX="1682" w:tblpY="55"/>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3"/>
        <w:gridCol w:w="2040"/>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单位</w:t>
            </w:r>
          </w:p>
        </w:tc>
        <w:tc>
          <w:tcPr>
            <w:tcW w:w="20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金额</w:t>
            </w:r>
          </w:p>
        </w:tc>
        <w:tc>
          <w:tcPr>
            <w:tcW w:w="3137" w:type="dxa"/>
            <w:tcBorders>
              <w:top w:val="single" w:color="auto" w:sz="4" w:space="0"/>
              <w:left w:val="nil"/>
              <w:right w:val="single" w:color="auto" w:sz="4" w:space="0"/>
            </w:tcBorders>
            <w:noWrap w:val="0"/>
            <w:vAlign w:val="center"/>
          </w:tcPr>
          <w:p>
            <w:pPr>
              <w:jc w:val="center"/>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3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eastAsia="zh-CN"/>
              </w:rPr>
              <w:t>梁河县退役军人事务局</w:t>
            </w:r>
          </w:p>
        </w:tc>
        <w:tc>
          <w:tcPr>
            <w:tcW w:w="2040" w:type="dxa"/>
            <w:tcBorders>
              <w:top w:val="single" w:color="auto" w:sz="4" w:space="0"/>
              <w:left w:val="nil"/>
              <w:right w:val="single" w:color="auto" w:sz="4" w:space="0"/>
            </w:tcBorders>
            <w:noWrap w:val="0"/>
            <w:vAlign w:val="center"/>
          </w:tcPr>
          <w:p>
            <w:pPr>
              <w:jc w:val="center"/>
              <w:rPr>
                <w:rFonts w:hint="default" w:ascii="Times New Roman" w:hAnsi="Times New Roman" w:eastAsia="方正黑体_GBK" w:cs="Times New Roman"/>
                <w:color w:val="auto"/>
                <w:sz w:val="28"/>
                <w:szCs w:val="28"/>
                <w:lang w:val="en-US" w:eastAsia="zh-CN"/>
              </w:rPr>
            </w:pPr>
            <w:r>
              <w:rPr>
                <w:rFonts w:hint="default" w:ascii="Times New Roman" w:hAnsi="Times New Roman" w:eastAsia="方正黑体_GBK" w:cs="Times New Roman"/>
                <w:color w:val="auto"/>
                <w:sz w:val="28"/>
                <w:szCs w:val="28"/>
                <w:lang w:val="en-US" w:eastAsia="zh-CN"/>
              </w:rPr>
              <w:t>24.00</w:t>
            </w:r>
          </w:p>
        </w:tc>
        <w:tc>
          <w:tcPr>
            <w:tcW w:w="3137" w:type="dxa"/>
            <w:tcBorders>
              <w:top w:val="single" w:color="auto" w:sz="4" w:space="0"/>
              <w:left w:val="nil"/>
              <w:right w:val="single" w:color="auto" w:sz="4" w:space="0"/>
            </w:tcBorders>
            <w:noWrap w:val="0"/>
            <w:vAlign w:val="center"/>
          </w:tcPr>
          <w:p>
            <w:pPr>
              <w:jc w:val="center"/>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lang w:eastAsia="zh-CN"/>
              </w:rPr>
              <w:t>按照各县市符合享受医疗保障经费的优抚对象人数分配资金。</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footerReference r:id="rId3" w:type="default"/>
          <w:pgSz w:w="11906" w:h="16838"/>
          <w:pgMar w:top="1134" w:right="1134" w:bottom="1134" w:left="1134" w:header="851" w:footer="992" w:gutter="0"/>
          <w:cols w:space="0" w:num="1"/>
          <w:rtlGutter w:val="0"/>
          <w:docGrid w:type="lines" w:linePitch="324" w:charSpace="0"/>
        </w:sectPr>
      </w:pPr>
    </w:p>
    <w:p>
      <w:pPr>
        <w:rPr>
          <w:rFonts w:hint="eastAsia" w:ascii="黑体" w:hAnsi="黑体" w:eastAsia="黑体" w:cs="黑体"/>
          <w:b w:val="0"/>
          <w:bCs/>
          <w:color w:val="auto"/>
          <w:sz w:val="32"/>
        </w:rPr>
      </w:pPr>
      <w:r>
        <w:rPr>
          <w:rFonts w:hint="eastAsia" w:ascii="黑体" w:hAnsi="黑体" w:eastAsia="黑体" w:cs="黑体"/>
          <w:b w:val="0"/>
          <w:bCs/>
          <w:color w:val="auto"/>
          <w:sz w:val="32"/>
        </w:rPr>
        <w:t>附件2</w:t>
      </w:r>
    </w:p>
    <w:p>
      <w:pPr>
        <w:jc w:val="center"/>
        <w:rPr>
          <w:rFonts w:hint="default" w:ascii="Times New Roman" w:hAnsi="Times New Roman" w:eastAsia="方正黑体_GBK" w:cs="Times New Roman"/>
          <w:color w:val="auto"/>
          <w:sz w:val="32"/>
          <w:szCs w:val="32"/>
        </w:rPr>
      </w:pPr>
      <w:r>
        <w:rPr>
          <w:rFonts w:hint="eastAsia" w:ascii="黑体" w:hAnsi="黑体" w:eastAsia="黑体" w:cs="黑体"/>
          <w:color w:val="auto"/>
          <w:sz w:val="32"/>
          <w:szCs w:val="32"/>
        </w:rPr>
        <w:t>2024年优抚对象医疗保障中央经费预算绩效目标</w:t>
      </w:r>
      <w:r>
        <w:rPr>
          <w:rFonts w:hint="default" w:ascii="Times New Roman" w:hAnsi="Times New Roman" w:eastAsia="方正黑体_GBK" w:cs="Times New Roman"/>
          <w:color w:val="auto"/>
          <w:sz w:val="32"/>
          <w:szCs w:val="32"/>
        </w:rPr>
        <w:t>表</w:t>
      </w:r>
    </w:p>
    <w:tbl>
      <w:tblPr>
        <w:tblStyle w:val="5"/>
        <w:tblW w:w="1035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40"/>
        <w:gridCol w:w="1750"/>
        <w:gridCol w:w="3900"/>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8"/>
                <w:szCs w:val="28"/>
                <w:lang w:eastAsia="zh-CN"/>
              </w:rPr>
            </w:pPr>
            <w:r>
              <w:rPr>
                <w:rFonts w:hint="default" w:ascii="Times New Roman" w:hAnsi="Times New Roman" w:eastAsia="方正仿宋_GBK" w:cs="Times New Roman"/>
                <w:color w:val="auto"/>
                <w:kern w:val="0"/>
                <w:sz w:val="28"/>
                <w:szCs w:val="28"/>
              </w:rPr>
              <w:t>项目名称</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auto"/>
                <w:kern w:val="0"/>
                <w:sz w:val="28"/>
                <w:szCs w:val="28"/>
                <w:lang w:eastAsia="zh-CN"/>
              </w:rPr>
            </w:pPr>
            <w:r>
              <w:rPr>
                <w:rFonts w:hint="default" w:ascii="Times New Roman" w:hAnsi="Times New Roman" w:eastAsia="方正仿宋_GBK" w:cs="Times New Roman"/>
                <w:color w:val="auto"/>
                <w:kern w:val="0"/>
                <w:sz w:val="28"/>
                <w:szCs w:val="28"/>
                <w:lang w:eastAsia="zh-CN"/>
              </w:rPr>
              <w:t>抚对象医疗保障经费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spacing w:val="0"/>
                <w:kern w:val="0"/>
                <w:sz w:val="28"/>
                <w:szCs w:val="28"/>
                <w:lang w:eastAsia="zh-CN"/>
              </w:rPr>
              <w:t>项目实施</w:t>
            </w:r>
            <w:r>
              <w:rPr>
                <w:rFonts w:hint="default" w:ascii="Times New Roman" w:hAnsi="Times New Roman" w:eastAsia="方正仿宋_GBK" w:cs="Times New Roman"/>
                <w:color w:val="auto"/>
                <w:spacing w:val="0"/>
                <w:kern w:val="0"/>
                <w:sz w:val="28"/>
                <w:szCs w:val="28"/>
              </w:rPr>
              <w:t>部门</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8"/>
                <w:szCs w:val="28"/>
              </w:rPr>
              <w:t>德宏州</w:t>
            </w:r>
            <w:r>
              <w:rPr>
                <w:rFonts w:hint="default" w:ascii="Times New Roman" w:hAnsi="Times New Roman" w:eastAsia="方正仿宋_GBK" w:cs="Times New Roman"/>
                <w:color w:val="auto"/>
                <w:kern w:val="0"/>
                <w:sz w:val="28"/>
                <w:szCs w:val="28"/>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50" w:type="dxa"/>
            <w:gridSpan w:val="3"/>
            <w:tcBorders>
              <w:top w:val="nil"/>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8"/>
                <w:szCs w:val="28"/>
                <w:lang w:eastAsia="zh-CN"/>
              </w:rPr>
              <w:t>项目</w:t>
            </w:r>
            <w:r>
              <w:rPr>
                <w:rFonts w:hint="default" w:ascii="Times New Roman" w:hAnsi="Times New Roman" w:eastAsia="方正仿宋_GBK" w:cs="Times New Roman"/>
                <w:color w:val="auto"/>
                <w:kern w:val="0"/>
                <w:sz w:val="28"/>
                <w:szCs w:val="28"/>
              </w:rPr>
              <w:t>资金</w:t>
            </w:r>
            <w:r>
              <w:rPr>
                <w:rFonts w:hint="eastAsia" w:ascii="Times New Roman" w:hAnsi="Times New Roman" w:eastAsia="方正仿宋_GBK" w:cs="Times New Roman"/>
                <w:color w:val="auto"/>
                <w:kern w:val="0"/>
                <w:sz w:val="28"/>
                <w:szCs w:val="28"/>
                <w:lang w:eastAsia="zh-CN"/>
              </w:rPr>
              <w:t>（万元）</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161.37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年度总体目标</w:t>
            </w:r>
          </w:p>
        </w:tc>
        <w:tc>
          <w:tcPr>
            <w:tcW w:w="9394"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color w:val="auto"/>
                <w:kern w:val="2"/>
                <w:sz w:val="24"/>
                <w:szCs w:val="24"/>
                <w:lang w:eastAsia="zh-CN"/>
              </w:rPr>
            </w:pPr>
            <w:r>
              <w:rPr>
                <w:rFonts w:hint="eastAsia" w:ascii="Times New Roman" w:hAnsi="Times New Roman" w:eastAsia="方正仿宋_GBK" w:cs="Times New Roman"/>
                <w:color w:val="auto"/>
                <w:kern w:val="0"/>
                <w:sz w:val="24"/>
                <w:szCs w:val="24"/>
                <w:lang w:eastAsia="zh-CN"/>
              </w:rPr>
              <w:t>对符合条件的优抚对象参保缴费、住院和门诊费用进行补助，有效帮助解决优抚对象医疗难的问题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0"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color w:val="auto"/>
                <w:kern w:val="2"/>
                <w:sz w:val="21"/>
              </w:rPr>
            </w:pPr>
          </w:p>
          <w:p>
            <w:pPr>
              <w:jc w:val="center"/>
              <w:rPr>
                <w:rFonts w:hint="default" w:ascii="Times New Roman" w:hAnsi="Times New Roman" w:eastAsia="方正仿宋_GBK" w:cs="Times New Roman"/>
                <w:color w:val="auto"/>
                <w:kern w:val="0"/>
                <w:sz w:val="20"/>
              </w:rPr>
            </w:pPr>
          </w:p>
          <w:p>
            <w:pPr>
              <w:jc w:val="center"/>
              <w:rPr>
                <w:rFonts w:hint="default" w:ascii="Times New Roman" w:hAnsi="Times New Roman" w:eastAsia="方正仿宋_GBK" w:cs="Times New Roman"/>
                <w:color w:val="auto"/>
                <w:kern w:val="0"/>
                <w:sz w:val="28"/>
                <w:szCs w:val="28"/>
              </w:rPr>
            </w:pPr>
          </w:p>
          <w:p>
            <w:pPr>
              <w:jc w:val="center"/>
              <w:rPr>
                <w:rFonts w:hint="default" w:ascii="Times New Roman" w:hAnsi="Times New Roman" w:eastAsia="方正仿宋_GBK" w:cs="Times New Roman"/>
                <w:color w:val="auto"/>
                <w:kern w:val="0"/>
                <w:sz w:val="28"/>
                <w:szCs w:val="28"/>
              </w:rPr>
            </w:pPr>
          </w:p>
          <w:p>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绩</w:t>
            </w:r>
          </w:p>
          <w:p>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效</w:t>
            </w:r>
          </w:p>
          <w:p>
            <w:pPr>
              <w:jc w:val="center"/>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目</w:t>
            </w:r>
          </w:p>
          <w:p>
            <w:pPr>
              <w:jc w:val="center"/>
              <w:rPr>
                <w:rFonts w:hint="default" w:ascii="Times New Roman" w:hAnsi="Times New Roman" w:eastAsia="方正仿宋_GBK" w:cs="Times New Roman"/>
                <w:color w:val="auto"/>
                <w:kern w:val="2"/>
                <w:sz w:val="21"/>
              </w:rPr>
            </w:pPr>
            <w:r>
              <w:rPr>
                <w:rFonts w:hint="default" w:ascii="Times New Roman" w:hAnsi="Times New Roman" w:eastAsia="方正仿宋_GBK" w:cs="Times New Roman"/>
                <w:color w:val="auto"/>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一级指标</w:t>
            </w: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二级指标</w:t>
            </w:r>
          </w:p>
        </w:tc>
        <w:tc>
          <w:tcPr>
            <w:tcW w:w="39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eastAsia" w:ascii="Times New Roman" w:hAnsi="Times New Roman" w:eastAsia="方正仿宋_GBK" w:cs="Times New Roman"/>
                <w:color w:val="auto"/>
                <w:kern w:val="0"/>
                <w:sz w:val="24"/>
                <w:szCs w:val="24"/>
                <w:lang w:eastAsia="zh-CN"/>
              </w:rPr>
              <w:t>三</w:t>
            </w:r>
            <w:r>
              <w:rPr>
                <w:rFonts w:hint="default" w:ascii="Times New Roman" w:hAnsi="Times New Roman" w:eastAsia="方正仿宋_GBK" w:cs="Times New Roman"/>
                <w:color w:val="auto"/>
                <w:kern w:val="0"/>
                <w:sz w:val="24"/>
                <w:szCs w:val="24"/>
              </w:rPr>
              <w:t>级指标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p>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产出指标</w:t>
            </w:r>
          </w:p>
        </w:tc>
        <w:tc>
          <w:tcPr>
            <w:tcW w:w="1750" w:type="dxa"/>
            <w:vMerge w:val="restart"/>
            <w:tcBorders>
              <w:top w:val="nil"/>
              <w:left w:val="nil"/>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数量指标</w:t>
            </w:r>
          </w:p>
        </w:tc>
        <w:tc>
          <w:tcPr>
            <w:tcW w:w="3900" w:type="dxa"/>
            <w:tcBorders>
              <w:top w:val="single" w:color="auto" w:sz="4" w:space="0"/>
              <w:left w:val="nil"/>
              <w:right w:val="single" w:color="auto" w:sz="4" w:space="0"/>
            </w:tcBorders>
            <w:noWrap w:val="0"/>
            <w:vAlign w:val="center"/>
          </w:tcPr>
          <w:p>
            <w:pPr>
              <w:jc w:val="left"/>
              <w:rPr>
                <w:rFonts w:hint="default" w:ascii="Times New Roman" w:hAnsi="Times New Roman" w:eastAsia="方正仿宋_GBK" w:cs="Times New Roman"/>
                <w:color w:val="auto"/>
                <w:spacing w:val="-20"/>
                <w:kern w:val="2"/>
                <w:sz w:val="24"/>
                <w:szCs w:val="24"/>
                <w:lang w:val="en-US" w:eastAsia="zh-CN"/>
              </w:rPr>
            </w:pPr>
            <w:r>
              <w:rPr>
                <w:rFonts w:hint="eastAsia" w:ascii="Times New Roman" w:hAnsi="Times New Roman" w:eastAsia="方正仿宋_GBK" w:cs="Times New Roman"/>
                <w:color w:val="auto"/>
                <w:spacing w:val="-20"/>
                <w:kern w:val="2"/>
                <w:sz w:val="24"/>
                <w:szCs w:val="24"/>
                <w:lang w:eastAsia="zh-CN"/>
              </w:rPr>
              <w:t>符合资助参保条件的</w:t>
            </w:r>
            <w:r>
              <w:rPr>
                <w:rFonts w:hint="eastAsia" w:ascii="Times New Roman" w:hAnsi="Times New Roman" w:eastAsia="方正仿宋_GBK" w:cs="Times New Roman"/>
                <w:color w:val="auto"/>
                <w:spacing w:val="-20"/>
                <w:kern w:val="2"/>
                <w:sz w:val="24"/>
                <w:szCs w:val="24"/>
                <w:lang w:val="en-US" w:eastAsia="zh-CN"/>
              </w:rPr>
              <w:t>1级至6级残疾军人实际职工基本医疗保险参保率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2"/>
                <w:sz w:val="24"/>
                <w:szCs w:val="24"/>
                <w:lang w:val="en-US"/>
              </w:rPr>
            </w:pPr>
            <w:r>
              <w:rPr>
                <w:rFonts w:hint="eastAsia" w:ascii="Times New Roman" w:hAnsi="Times New Roman" w:eastAsia="方正仿宋_GBK" w:cs="Times New Roman"/>
                <w:color w:val="auto"/>
                <w:kern w:val="0"/>
                <w:sz w:val="24"/>
                <w:szCs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vMerge w:val="continue"/>
            <w:tcBorders>
              <w:left w:val="nil"/>
              <w:right w:val="single" w:color="auto" w:sz="4" w:space="0"/>
            </w:tcBorders>
            <w:noWrap w:val="0"/>
            <w:vAlign w:val="center"/>
          </w:tcPr>
          <w:p>
            <w:pPr>
              <w:jc w:val="center"/>
              <w:rPr>
                <w:rFonts w:hint="default" w:ascii="Times New Roman" w:hAnsi="Times New Roman" w:eastAsia="方正仿宋_GBK" w:cs="Times New Roman"/>
                <w:color w:val="auto"/>
                <w:kern w:val="0"/>
                <w:sz w:val="24"/>
                <w:szCs w:val="24"/>
              </w:rPr>
            </w:pPr>
          </w:p>
        </w:tc>
        <w:tc>
          <w:tcPr>
            <w:tcW w:w="1750" w:type="dxa"/>
            <w:vMerge w:val="continue"/>
            <w:tcBorders>
              <w:left w:val="nil"/>
              <w:right w:val="single" w:color="auto" w:sz="4" w:space="0"/>
            </w:tcBorders>
            <w:noWrap w:val="0"/>
            <w:vAlign w:val="center"/>
          </w:tcPr>
          <w:p>
            <w:pPr>
              <w:jc w:val="center"/>
              <w:rPr>
                <w:rFonts w:hint="default" w:ascii="Times New Roman" w:hAnsi="Times New Roman" w:eastAsia="方正仿宋_GBK" w:cs="Times New Roman"/>
                <w:color w:val="auto"/>
                <w:kern w:val="0"/>
                <w:sz w:val="24"/>
                <w:szCs w:val="24"/>
              </w:rPr>
            </w:pPr>
          </w:p>
        </w:tc>
        <w:tc>
          <w:tcPr>
            <w:tcW w:w="3900" w:type="dxa"/>
            <w:tcBorders>
              <w:top w:val="single" w:color="auto" w:sz="4" w:space="0"/>
              <w:left w:val="nil"/>
              <w:right w:val="single" w:color="auto" w:sz="4" w:space="0"/>
            </w:tcBorders>
            <w:noWrap w:val="0"/>
            <w:vAlign w:val="center"/>
          </w:tcPr>
          <w:p>
            <w:pPr>
              <w:jc w:val="left"/>
              <w:rPr>
                <w:rFonts w:hint="eastAsia" w:ascii="Times New Roman" w:hAnsi="Times New Roman" w:eastAsia="方正仿宋_GBK" w:cs="Times New Roman"/>
                <w:color w:val="auto"/>
                <w:spacing w:val="-20"/>
                <w:kern w:val="2"/>
                <w:sz w:val="24"/>
                <w:szCs w:val="24"/>
                <w:lang w:eastAsia="zh-CN"/>
              </w:rPr>
            </w:pPr>
            <w:r>
              <w:rPr>
                <w:rFonts w:hint="eastAsia" w:ascii="Times New Roman" w:hAnsi="Times New Roman" w:eastAsia="方正仿宋_GBK" w:cs="Times New Roman"/>
                <w:color w:val="auto"/>
                <w:spacing w:val="-20"/>
                <w:kern w:val="2"/>
                <w:sz w:val="24"/>
                <w:szCs w:val="24"/>
                <w:lang w:eastAsia="zh-CN"/>
              </w:rPr>
              <w:t>符合医疗补助条件、参加基本医疗保险制度但个人医疗费用负担较重的优抚对象中实际享受医疗补助人数的比例</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color w:val="auto"/>
                <w:kern w:val="0"/>
                <w:sz w:val="24"/>
                <w:szCs w:val="24"/>
                <w:lang w:val="en-US" w:eastAsia="zh-CN"/>
              </w:rPr>
            </w:pPr>
            <w:r>
              <w:rPr>
                <w:rFonts w:hint="eastAsia" w:ascii="Times New Roman" w:hAnsi="Times New Roman" w:eastAsia="方正仿宋_GBK" w:cs="Times New Roman"/>
                <w:color w:val="auto"/>
                <w:kern w:val="0"/>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auto"/>
                <w:kern w:val="2"/>
                <w:sz w:val="24"/>
                <w:szCs w:val="24"/>
              </w:rPr>
            </w:pPr>
          </w:p>
        </w:tc>
        <w:tc>
          <w:tcPr>
            <w:tcW w:w="1750" w:type="dxa"/>
            <w:tcBorders>
              <w:left w:val="nil"/>
              <w:right w:val="single" w:color="auto" w:sz="4" w:space="0"/>
            </w:tcBorders>
            <w:noWrap w:val="0"/>
            <w:vAlign w:val="center"/>
          </w:tcPr>
          <w:p>
            <w:pPr>
              <w:jc w:val="center"/>
              <w:rPr>
                <w:rFonts w:hint="eastAsia" w:ascii="Times New Roman" w:hAnsi="Times New Roman" w:eastAsia="方正仿宋_GBK" w:cs="Times New Roman"/>
                <w:color w:val="auto"/>
                <w:kern w:val="0"/>
                <w:sz w:val="24"/>
                <w:szCs w:val="24"/>
                <w:lang w:eastAsia="zh-CN"/>
              </w:rPr>
            </w:pPr>
            <w:r>
              <w:rPr>
                <w:rFonts w:hint="eastAsia" w:ascii="Times New Roman" w:hAnsi="Times New Roman" w:eastAsia="方正仿宋_GBK" w:cs="Times New Roman"/>
                <w:color w:val="auto"/>
                <w:kern w:val="0"/>
                <w:sz w:val="24"/>
                <w:szCs w:val="24"/>
                <w:lang w:eastAsia="zh-CN"/>
              </w:rPr>
              <w:t>质量指标</w:t>
            </w:r>
          </w:p>
        </w:tc>
        <w:tc>
          <w:tcPr>
            <w:tcW w:w="3900"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lang w:eastAsia="zh-CN"/>
              </w:rPr>
              <w:t>经费足额拨付率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color w:val="auto"/>
                <w:kern w:val="2"/>
                <w:sz w:val="24"/>
                <w:szCs w:val="24"/>
              </w:rPr>
            </w:pP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时效指标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lang w:eastAsia="zh-CN"/>
              </w:rPr>
              <w:t>优抚对象补助</w:t>
            </w:r>
            <w:r>
              <w:rPr>
                <w:rFonts w:hint="eastAsia" w:ascii="Times New Roman" w:hAnsi="Times New Roman" w:eastAsia="方正仿宋_GBK" w:cs="Times New Roman"/>
                <w:color w:val="auto"/>
                <w:kern w:val="0"/>
                <w:sz w:val="24"/>
                <w:szCs w:val="24"/>
                <w:lang w:eastAsia="zh-CN"/>
              </w:rPr>
              <w:t>经费</w:t>
            </w:r>
            <w:r>
              <w:rPr>
                <w:rFonts w:hint="default" w:ascii="Times New Roman" w:hAnsi="Times New Roman" w:eastAsia="方正仿宋_GBK" w:cs="Times New Roman"/>
                <w:color w:val="auto"/>
                <w:kern w:val="0"/>
                <w:sz w:val="24"/>
                <w:szCs w:val="24"/>
                <w:lang w:eastAsia="zh-CN"/>
              </w:rPr>
              <w:t>及时拨付率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rPr>
            </w:pPr>
            <w:r>
              <w:rPr>
                <w:rFonts w:hint="default" w:ascii="Times New Roman" w:hAnsi="Times New Roman" w:eastAsia="方正仿宋_GBK" w:cs="Times New Roman"/>
                <w:color w:val="auto"/>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效益指标</w:t>
            </w:r>
          </w:p>
        </w:tc>
        <w:tc>
          <w:tcPr>
            <w:tcW w:w="1750"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2"/>
                <w:sz w:val="24"/>
                <w:szCs w:val="24"/>
                <w:lang w:eastAsia="zh-CN"/>
              </w:rPr>
            </w:pPr>
            <w:r>
              <w:rPr>
                <w:rFonts w:hint="default" w:ascii="Times New Roman" w:hAnsi="Times New Roman" w:eastAsia="方正仿宋_GBK" w:cs="Times New Roman"/>
                <w:color w:val="auto"/>
                <w:kern w:val="0"/>
                <w:sz w:val="24"/>
                <w:szCs w:val="24"/>
              </w:rPr>
              <w:t>社会效益指</w:t>
            </w:r>
            <w:r>
              <w:rPr>
                <w:rFonts w:hint="eastAsia" w:ascii="Times New Roman" w:hAnsi="Times New Roman" w:eastAsia="方正仿宋_GBK" w:cs="Times New Roman"/>
                <w:color w:val="auto"/>
                <w:kern w:val="0"/>
                <w:sz w:val="24"/>
                <w:szCs w:val="24"/>
                <w:lang w:eastAsia="zh-CN"/>
              </w:rPr>
              <w:t>标</w:t>
            </w:r>
          </w:p>
        </w:tc>
        <w:tc>
          <w:tcPr>
            <w:tcW w:w="390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rPr>
            </w:pPr>
            <w:r>
              <w:rPr>
                <w:rFonts w:hint="eastAsia" w:ascii="Times New Roman" w:hAnsi="Times New Roman" w:eastAsia="方正仿宋_GBK" w:cs="Times New Roman"/>
                <w:color w:val="auto"/>
                <w:kern w:val="0"/>
                <w:sz w:val="24"/>
                <w:szCs w:val="24"/>
                <w:lang w:eastAsia="zh-CN"/>
              </w:rPr>
              <w:t>优抚对象医疗难问题改善情况</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2"/>
                <w:sz w:val="21"/>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服务对象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满意度指标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rPr>
            </w:pPr>
            <w:r>
              <w:rPr>
                <w:rFonts w:hint="default" w:ascii="Times New Roman" w:hAnsi="Times New Roman" w:eastAsia="方正仿宋_GBK" w:cs="Times New Roman"/>
                <w:color w:val="auto"/>
                <w:kern w:val="0"/>
                <w:sz w:val="24"/>
                <w:szCs w:val="24"/>
              </w:rPr>
              <w:t>优抚对象满意度</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rPr>
            </w:pPr>
            <w:r>
              <w:rPr>
                <w:rFonts w:hint="eastAsia" w:ascii="东文宋体" w:hAnsi="东文宋体" w:eastAsia="东文宋体" w:cs="东文宋体"/>
                <w:color w:val="auto"/>
                <w:kern w:val="0"/>
                <w:sz w:val="24"/>
                <w:szCs w:val="24"/>
                <w:lang w:val="en-US" w:eastAsia="zh-CN"/>
              </w:rPr>
              <w:t>≥</w:t>
            </w:r>
            <w:r>
              <w:rPr>
                <w:rFonts w:hint="default" w:ascii="Times New Roman" w:hAnsi="Times New Roman" w:eastAsia="方正仿宋_GBK" w:cs="Times New Roman"/>
                <w:color w:val="auto"/>
                <w:kern w:val="0"/>
                <w:sz w:val="24"/>
                <w:szCs w:val="24"/>
                <w:lang w:val="en-US" w:eastAsia="zh-CN"/>
              </w:rPr>
              <w:t>90</w:t>
            </w:r>
            <w:r>
              <w:rPr>
                <w:rFonts w:hint="default" w:ascii="Times New Roman" w:hAnsi="Times New Roman" w:eastAsia="方正仿宋_GBK" w:cs="Times New Roman"/>
                <w:color w:val="auto"/>
                <w:kern w:val="0"/>
                <w:sz w:val="24"/>
                <w:szCs w:val="24"/>
              </w:rPr>
              <w:t>%</w:t>
            </w:r>
          </w:p>
        </w:tc>
      </w:tr>
    </w:tbl>
    <w:p>
      <w:pPr>
        <w:rPr>
          <w:rFonts w:hint="default" w:ascii="Times New Roman" w:hAnsi="Times New Roman" w:eastAsia="仿宋_GB2312" w:cs="Times New Roman"/>
          <w:b/>
          <w:color w:val="auto"/>
          <w:sz w:val="32"/>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6" w:type="first"/>
      <w:footerReference r:id="rId4" w:type="default"/>
      <w:footerReference r:id="rId5" w:type="even"/>
      <w:pgSz w:w="11906" w:h="16838"/>
      <w:pgMar w:top="2098" w:right="1474" w:bottom="1984" w:left="1587" w:header="85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8260" w:firstLineChars="2950"/>
      <w:rPr>
        <w:rStyle w:val="7"/>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7"/>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918B323-9E6D-4304-9D57-749DC0FC6C62}"/>
    <w:docVar w:name="DocumentName" w:val="梁财社〔2024〕12号梁河县财政局关于提前下达2024年优抚对象医疗保障中央经费预算的通知"/>
  </w:docVars>
  <w:rsids>
    <w:rsidRoot w:val="00000000"/>
    <w:rsid w:val="00133F55"/>
    <w:rsid w:val="00830B3A"/>
    <w:rsid w:val="00BF1500"/>
    <w:rsid w:val="00C66381"/>
    <w:rsid w:val="06007873"/>
    <w:rsid w:val="0786416F"/>
    <w:rsid w:val="088D6498"/>
    <w:rsid w:val="09745825"/>
    <w:rsid w:val="09E911F1"/>
    <w:rsid w:val="0AE5706E"/>
    <w:rsid w:val="0AF94F2D"/>
    <w:rsid w:val="0B0A6A71"/>
    <w:rsid w:val="0C5B035E"/>
    <w:rsid w:val="0C83624D"/>
    <w:rsid w:val="0D3F0EEB"/>
    <w:rsid w:val="0DBC559A"/>
    <w:rsid w:val="0E2142A1"/>
    <w:rsid w:val="0FCB1CE9"/>
    <w:rsid w:val="0FDA24F6"/>
    <w:rsid w:val="102F7315"/>
    <w:rsid w:val="1091445F"/>
    <w:rsid w:val="10E45564"/>
    <w:rsid w:val="11FC7480"/>
    <w:rsid w:val="12B67DF9"/>
    <w:rsid w:val="13341197"/>
    <w:rsid w:val="138419EE"/>
    <w:rsid w:val="13A21647"/>
    <w:rsid w:val="13A6267C"/>
    <w:rsid w:val="148005FB"/>
    <w:rsid w:val="150F5AD2"/>
    <w:rsid w:val="157818E8"/>
    <w:rsid w:val="18763BA5"/>
    <w:rsid w:val="18C97CB2"/>
    <w:rsid w:val="19B16135"/>
    <w:rsid w:val="19CF3670"/>
    <w:rsid w:val="1A1E05BA"/>
    <w:rsid w:val="1A7D6D85"/>
    <w:rsid w:val="1B9D1623"/>
    <w:rsid w:val="1C172982"/>
    <w:rsid w:val="1D815751"/>
    <w:rsid w:val="1DD646B6"/>
    <w:rsid w:val="1DEA7DC2"/>
    <w:rsid w:val="1EA0242D"/>
    <w:rsid w:val="1EF15C06"/>
    <w:rsid w:val="1FC666FD"/>
    <w:rsid w:val="1FE108D5"/>
    <w:rsid w:val="202424BD"/>
    <w:rsid w:val="2108113C"/>
    <w:rsid w:val="21E41377"/>
    <w:rsid w:val="227A5B2F"/>
    <w:rsid w:val="22A83ADD"/>
    <w:rsid w:val="22B95AC7"/>
    <w:rsid w:val="2307485F"/>
    <w:rsid w:val="23494274"/>
    <w:rsid w:val="235829B4"/>
    <w:rsid w:val="246F5D80"/>
    <w:rsid w:val="25766390"/>
    <w:rsid w:val="25F17BFA"/>
    <w:rsid w:val="267A18CC"/>
    <w:rsid w:val="273208E7"/>
    <w:rsid w:val="27327F13"/>
    <w:rsid w:val="279D33AE"/>
    <w:rsid w:val="27AC3A14"/>
    <w:rsid w:val="283B2521"/>
    <w:rsid w:val="28AC1ED8"/>
    <w:rsid w:val="2B4D5322"/>
    <w:rsid w:val="2C213B0E"/>
    <w:rsid w:val="2C622667"/>
    <w:rsid w:val="2C8A36E0"/>
    <w:rsid w:val="2DC027C2"/>
    <w:rsid w:val="2F10570F"/>
    <w:rsid w:val="2F2819F8"/>
    <w:rsid w:val="315D7DA4"/>
    <w:rsid w:val="317967B1"/>
    <w:rsid w:val="32026C74"/>
    <w:rsid w:val="32572CB0"/>
    <w:rsid w:val="32CB2F7B"/>
    <w:rsid w:val="34E51D3A"/>
    <w:rsid w:val="357A2BD6"/>
    <w:rsid w:val="37660868"/>
    <w:rsid w:val="3782629D"/>
    <w:rsid w:val="380657E0"/>
    <w:rsid w:val="3A1145AF"/>
    <w:rsid w:val="3A4F3806"/>
    <w:rsid w:val="3D1E75A7"/>
    <w:rsid w:val="3D6544F0"/>
    <w:rsid w:val="3F6049B7"/>
    <w:rsid w:val="40203954"/>
    <w:rsid w:val="4038606A"/>
    <w:rsid w:val="40C50F64"/>
    <w:rsid w:val="42253A94"/>
    <w:rsid w:val="422B0AC7"/>
    <w:rsid w:val="43FA3136"/>
    <w:rsid w:val="44216393"/>
    <w:rsid w:val="44D7423A"/>
    <w:rsid w:val="45FF5F18"/>
    <w:rsid w:val="46AF3BC9"/>
    <w:rsid w:val="47CC6BDA"/>
    <w:rsid w:val="47E257F5"/>
    <w:rsid w:val="47FE7947"/>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2A01F0B"/>
    <w:rsid w:val="54CD11BE"/>
    <w:rsid w:val="54FE12AD"/>
    <w:rsid w:val="55BE3C17"/>
    <w:rsid w:val="5620087B"/>
    <w:rsid w:val="56455A59"/>
    <w:rsid w:val="58940722"/>
    <w:rsid w:val="590B7542"/>
    <w:rsid w:val="5A333888"/>
    <w:rsid w:val="5B2F6498"/>
    <w:rsid w:val="5B3C5A35"/>
    <w:rsid w:val="5D625B32"/>
    <w:rsid w:val="5DDC5DF9"/>
    <w:rsid w:val="5ED66A25"/>
    <w:rsid w:val="60C32949"/>
    <w:rsid w:val="61353447"/>
    <w:rsid w:val="621D4E67"/>
    <w:rsid w:val="62790E71"/>
    <w:rsid w:val="62FB3F34"/>
    <w:rsid w:val="65CE47BF"/>
    <w:rsid w:val="65F64448"/>
    <w:rsid w:val="6633285F"/>
    <w:rsid w:val="675555D5"/>
    <w:rsid w:val="6A855C4B"/>
    <w:rsid w:val="6BDF40EE"/>
    <w:rsid w:val="6D2A0593"/>
    <w:rsid w:val="6DDC342C"/>
    <w:rsid w:val="6E0C4A49"/>
    <w:rsid w:val="6E175BAB"/>
    <w:rsid w:val="6F245E11"/>
    <w:rsid w:val="719515F5"/>
    <w:rsid w:val="719F2C97"/>
    <w:rsid w:val="71BD2223"/>
    <w:rsid w:val="73066F61"/>
    <w:rsid w:val="73262C99"/>
    <w:rsid w:val="73663EDE"/>
    <w:rsid w:val="736F2C8B"/>
    <w:rsid w:val="73C2712E"/>
    <w:rsid w:val="75277D66"/>
    <w:rsid w:val="76460B34"/>
    <w:rsid w:val="76514837"/>
    <w:rsid w:val="76B8261D"/>
    <w:rsid w:val="78117866"/>
    <w:rsid w:val="78451356"/>
    <w:rsid w:val="78A94A62"/>
    <w:rsid w:val="7BA30EF9"/>
    <w:rsid w:val="7BD621F0"/>
    <w:rsid w:val="7C6061A4"/>
    <w:rsid w:val="7DB83FEE"/>
    <w:rsid w:val="7DBE3C71"/>
    <w:rsid w:val="7EF07283"/>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Times New Roman" w:hAnsi="Times New Roman" w:eastAsia="宋体" w:cs="Times New Roman"/>
    </w:rPr>
  </w:style>
  <w:style w:type="character" w:customStyle="1" w:styleId="8">
    <w:name w:val="font21"/>
    <w:basedOn w:val="6"/>
    <w:qFormat/>
    <w:uiPriority w:val="0"/>
    <w:rPr>
      <w:rFonts w:hint="eastAsia" w:ascii="宋体" w:hAnsi="宋体" w:eastAsia="宋体" w:cs="宋体"/>
      <w:color w:val="000000"/>
      <w:sz w:val="18"/>
      <w:szCs w:val="18"/>
      <w:u w:val="none"/>
    </w:rPr>
  </w:style>
  <w:style w:type="character" w:customStyle="1" w:styleId="9">
    <w:name w:val="font31"/>
    <w:basedOn w:val="6"/>
    <w:qFormat/>
    <w:uiPriority w:val="0"/>
    <w:rPr>
      <w:rFonts w:hint="eastAsia" w:ascii="宋体" w:hAnsi="宋体" w:eastAsia="宋体" w:cs="宋体"/>
      <w:color w:val="000000"/>
      <w:sz w:val="20"/>
      <w:szCs w:val="20"/>
      <w:u w:val="none"/>
    </w:rPr>
  </w:style>
  <w:style w:type="character" w:customStyle="1" w:styleId="10">
    <w:name w:val="font01"/>
    <w:basedOn w:val="6"/>
    <w:qFormat/>
    <w:uiPriority w:val="0"/>
    <w:rPr>
      <w:rFonts w:hint="eastAsia" w:ascii="宋体" w:hAnsi="宋体" w:eastAsia="宋体" w:cs="宋体"/>
      <w:b/>
      <w:color w:val="000000"/>
      <w:sz w:val="20"/>
      <w:szCs w:val="20"/>
      <w:u w:val="none"/>
    </w:rPr>
  </w:style>
  <w:style w:type="character" w:customStyle="1" w:styleId="11">
    <w:name w:val="font41"/>
    <w:basedOn w:val="6"/>
    <w:qFormat/>
    <w:uiPriority w:val="0"/>
    <w:rPr>
      <w:rFonts w:hint="default" w:ascii="Times New Roman" w:hAnsi="Times New Roman" w:eastAsia="宋体" w:cs="Times New Roman"/>
      <w:color w:val="000000"/>
      <w:sz w:val="22"/>
      <w:szCs w:val="22"/>
      <w:u w:val="none"/>
    </w:rPr>
  </w:style>
  <w:style w:type="character" w:customStyle="1" w:styleId="12">
    <w:name w:val="font71"/>
    <w:basedOn w:val="6"/>
    <w:qFormat/>
    <w:uiPriority w:val="0"/>
    <w:rPr>
      <w:rFonts w:hint="eastAsia" w:ascii="宋体" w:hAnsi="宋体" w:eastAsia="宋体" w:cs="宋体"/>
      <w:color w:val="000000"/>
      <w:sz w:val="28"/>
      <w:szCs w:val="28"/>
      <w:u w:val="none"/>
    </w:rPr>
  </w:style>
  <w:style w:type="character" w:customStyle="1" w:styleId="13">
    <w:name w:val="font11"/>
    <w:basedOn w:val="6"/>
    <w:qFormat/>
    <w:uiPriority w:val="0"/>
    <w:rPr>
      <w:rFonts w:hint="default" w:ascii="仿宋_GB2312" w:eastAsia="仿宋_GB2312" w:cs="仿宋_GB2312"/>
      <w:color w:val="000000"/>
      <w:sz w:val="30"/>
      <w:szCs w:val="30"/>
      <w:u w:val="none"/>
    </w:rPr>
  </w:style>
  <w:style w:type="paragraph" w:customStyle="1" w:styleId="14">
    <w:name w:val="图表目录1"/>
    <w:basedOn w:val="15"/>
    <w:next w:val="1"/>
    <w:qFormat/>
    <w:uiPriority w:val="0"/>
    <w:pPr>
      <w:ind w:left="200" w:leftChars="200" w:hanging="200" w:hangingChars="200"/>
    </w:pPr>
    <w:rPr>
      <w:rFonts w:ascii="Calibri" w:hAnsi="Calibri" w:eastAsia="宋体" w:cs="Times New Roma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4"/>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花花世界</cp:lastModifiedBy>
  <cp:lastPrinted>2024-01-11T07:34:00Z</cp:lastPrinted>
  <dcterms:modified xsi:type="dcterms:W3CDTF">2024-06-18T11:51:15Z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FAFFFA3E596248369B62D1E49682022E</vt:lpwstr>
  </property>
</Properties>
</file>