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仿宋_GBK"/>
          <w:sz w:val="32"/>
          <w:szCs w:val="32"/>
        </w:rPr>
      </w:pPr>
      <w:r>
        <w:rPr>
          <w:sz w:val="32"/>
        </w:rPr>
        <w:pict>
          <v:rect id="KGD_Gobal1" o:spid="_x0000_s1026" o:spt="1" alt="lskY7P30+39SSS2ze3CC/NBV/6pWl5c6ebEGYSfrMV1UAzfgZyeRuJnHZA+jZxd6k1N7cGviBdZM66xpaebukEh+PmGZcW4YeP/sa6/aAFo4yKhQdVRJ8kTVukVzd12StwwdmIPlz3AY0vAY20mEkhXr5/PwmSJuRFZobPjDhpT8gso97MotWg+pBh7ht6/DGQlk7Wa75okp4bveh9ir3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co9IAlMrJfl7a+TPOvr2U3dA39hUa16RrZ4e2azDkJlLG1nZLsLcRuKp2Fm06VXTY56pLk0Owwu26isBqzvCPmN7UN3e+IR2xHXvlKOq3Rl2lyCcQXD3FLf2xodDn4OZyV773gYpwV6iPuL+WvmCRve5owA3FeRDMundO9tIuKK778NKtNszfEBGjj3NZWw+CAE/E+KMqIj9hw5JuboU" style="position:absolute;left:0pt;margin-left:-80.9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bookmarkStart w:id="0" w:name="doc_mark"/>
      <w:r>
        <w:rPr>
          <w:rFonts w:hint="default" w:ascii="Times New Roman" w:hAnsi="Times New Roman" w:eastAsia="方正仿宋_GBK" w:cs="Times New Roman"/>
          <w:sz w:val="32"/>
          <w:szCs w:val="32"/>
          <w:lang w:eastAsia="zh-CN"/>
        </w:rPr>
        <w:t>梁</w:t>
      </w:r>
      <w:r>
        <w:rPr>
          <w:rFonts w:hint="default" w:ascii="Times New Roman" w:hAnsi="Times New Roman" w:eastAsia="方正仿宋_GBK" w:cs="Times New Roman"/>
          <w:sz w:val="32"/>
          <w:szCs w:val="32"/>
        </w:rPr>
        <w:t>财</w:t>
      </w:r>
      <w:r>
        <w:rPr>
          <w:rFonts w:hint="default" w:ascii="Times New Roman" w:hAnsi="Times New Roman" w:eastAsia="方正仿宋_GBK" w:cs="Times New Roman"/>
          <w:sz w:val="32"/>
          <w:szCs w:val="32"/>
          <w:lang w:eastAsia="zh-CN"/>
        </w:rPr>
        <w:t>社</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bookmarkEnd w:id="0"/>
      <w:bookmarkStart w:id="1" w:name="Content"/>
      <w:bookmarkEnd w:id="1"/>
    </w:p>
    <w:p>
      <w:pPr>
        <w:spacing w:line="530" w:lineRule="exact"/>
        <w:jc w:val="both"/>
        <w:rPr>
          <w:rFonts w:hint="eastAsia" w:eastAsia="方正仿宋_GBK"/>
          <w:sz w:val="32"/>
          <w:szCs w:val="32"/>
          <w:lang w:eastAsia="zh-CN"/>
        </w:rPr>
      </w:pPr>
    </w:p>
    <w:p>
      <w:pPr>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梁河县</w:t>
      </w:r>
      <w:r>
        <w:rPr>
          <w:rFonts w:hint="default" w:ascii="Times New Roman" w:hAnsi="Times New Roman" w:eastAsia="方正小标宋_GBK" w:cs="Times New Roman"/>
          <w:sz w:val="44"/>
          <w:szCs w:val="44"/>
        </w:rPr>
        <w:t>财政</w:t>
      </w:r>
      <w:r>
        <w:rPr>
          <w:rFonts w:hint="default" w:ascii="Times New Roman" w:hAnsi="Times New Roman" w:eastAsia="方正小标宋_GBK" w:cs="Times New Roman"/>
          <w:sz w:val="44"/>
          <w:szCs w:val="44"/>
          <w:lang w:eastAsia="zh-CN"/>
        </w:rPr>
        <w:t>局关于下达2022年中央财政</w:t>
      </w:r>
    </w:p>
    <w:p>
      <w:pPr>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残疾人事业发展补助资金的通知</w:t>
      </w:r>
    </w:p>
    <w:p>
      <w:pPr>
        <w:jc w:val="both"/>
        <w:rPr>
          <w:rFonts w:hint="eastAsia" w:ascii="Times New Roman" w:hAnsi="Times New Roman" w:eastAsia="方正小标宋_GBK" w:cs="Times New Roman"/>
          <w:sz w:val="44"/>
          <w:szCs w:val="44"/>
          <w:lang w:eastAsia="zh-CN"/>
        </w:rPr>
      </w:pPr>
    </w:p>
    <w:p>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梁河县残疾人联合会</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支持残疾人事业发展，提高预算完整性，加快支出进度，根据《德宏州财政局关于下达2022年中央财政残疾人事业发展补助资金的通知》（德财社〔2022〕18号）精神，现下达你单位下达2022年残疾人事业发展补助资金40万元（含一般公共预算资金和中央专项彩票公益金支持残疾人事业发展补助资金），具体金额详见附件，现将有关事业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补助资金中，一般公共预算资金收入列入2022年政府收支分类科目“1100248社会保障和就业共同财政事权转移支付收入”，支出列入“2081残疾人事业”相关科目（详见附件），政府及部门支出经济分类科目，请根据该项目要求和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统筹用于7岁以上残疾人康复、农村困难残疾人实用技术培训、残疾人机动轮椅车燃油补贴以及阳光家园计划—智力、精神和重度肢体残疾人托养服务等方面支出。中央专项彩票公益金支持残疾人事业发展补助资金支出列入2022年政府收支分类科目“2296006用于残疾人事业的彩票公益金支出”，政府及部门支出经济分类科目，请根据该项目要求和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用于0-6岁残疾儿童康复救助及时期干预试点、困难重度残疾人家庭无障碍改造、残疾人文化服务、困难智力精神和重度残疾人残疾评定补贴、残疾学生救助、残疾人康复和托养机构设备补助等方面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二、此次下达的一般公共预算资金列入直达资金管理，该项直达资金的标识为“01中央直达资金”，贯穿资金分配、拨付、使用等整个环节，且保持不变。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为进一步规范转移支付绩效目标管理，提高财政资金使用效益，请按照《中共中央国务院关于全面实施预算绩效管理的意见》要求，完善绩效目标管理，做好绩效运行监控和绩效评价，确保财政资金安全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sz w:val="32"/>
        </w:rPr>
        <w:pict>
          <v:rect id="KGD_62135E8B$01$29$00013" o:spid="_x0000_s1030" o:spt="1" alt="DLMPhYU+vLt9IyS0MgiE+zTuk6ljR2XEtzucgEIP07/BFfeldfgIEpBwRXkq17vy1B+lg5YD+U+EoZty/2YcL3teiP7q5QRlrOFempUuONYs7n8glkvakX0qJ9Dt5vqU/3SLDGTq8BDcWFRTSvNTQck9tHj4axQOSkoBgq9N2O8gvBjzF9jJeyNIv07gxb3yuHLTbJ3fE7ZlNP3ZZ3Nj4B98vNYtayyJO6bql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10VfnGUZY0DFgD2h4N106UZXG2NiOk5Tauj9Mm0u7D7SQy1U/TvXF0yPUGOT1WQayVhLgYXWghTBOogO6kSmoNhkoUZejjJ4cX92OjDBSx5UUO269GJuvVRpXxuc2VQv9DuByRKaiux5sNABIroRamnYXQsEDFsIJJoZai+RNmzA562w0eqqENBc05J9EDvweTkSbCxLWCRT3JpjHYr/oY7H0fQO++A2a3bVf1rqiBfLajOMbdYuMIjY+FrLbrlSLUWucfB2fNcuHft0J0nBeEukwKjvpuxYIv3Sv3gKNx8R5wluHpiqIa7X40yhkTu7oge/zxHABbLnKodkQb/s25D3xq8KXQTA1q5L4FyvLRLzl/YqoVp+wwvZfpa+gcXva5n3km5oXqTP2eI9fVTz+j+yuZC2io27uzhrLqsTG9yLstCYGZVK2DcJuzfyLivJ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0.8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62135E8B$01$29$00012" o:spid="_x0000_s1031" o:spt="1" alt="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" style="position:absolute;left:0pt;margin-left:-80.8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62135E8B$01$29$00011" o:spid="_x0000_s1032" o:spt="1" alt="nwkOiId/bBbOAe61rgYT4vXM3UaFFF0tl2W9B2ekj1Z7kYnHXrUHbs1gN35c90qvMbJ5pqJE+hcMRHYtTd7FfB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QPgRcejPeKdjKzirVdmxIyYuvgJJyJ7K7mciBURlfDMLgW+nJdiRfjADZVAdV7XU9BfmhQ5A1Lvy9v9fEUQslvrezL7Xvv/JWr2Jkyuot43RmAUfJy5yVHa3ekFSgppOufTlaCK+xghnYvgvPyNs7rpm4ojKA/M7ySQWpwcemF89W2ydjeprClFGftwHp+nJIR83fCR9sIGx8zwGQeWKsvI9S1brOpzOBL7tvnM43zfgEuBA6g1zpbxt8Bh4uC1W0u161PBwUrJWbJ0LnW2382LLGDTQHFA2LV+S432RiHZSztD74bZLp/P/QlhqcZFr4mgfFLs3flcjfZxROpd+aeKWrSf4Ehu+JK9nsOCK5lOaRg8oeudw2oMe968S0Wi3B6F700JaJC4bsKIiWOkFb1ii5ssElol9633y4y9X3s9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0.8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33"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80.8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34"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80.8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35"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80.8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3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80.8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37"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80.85pt;margin-top:-94.9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lang w:val="en-US" w:eastAsia="zh-CN"/>
        </w:rPr>
        <w:t>四、请并结合地方安排的残疾人事业发展补助资金统筹使用。同时，要按照《云南省财政厅 云南省残疾人联合会关于印发&lt;云南省残疾人事业发展补助资金管理办法&gt;的通知》（云财社〔2017〕29号）规定，加强资金使用管理，努力提高资金使用效益。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附件：1.2022年残疾人事业发展补助资金分配表（一般公共预算）</w:t>
      </w:r>
    </w:p>
    <w:p>
      <w:pPr>
        <w:keepNext w:val="0"/>
        <w:keepLines w:val="0"/>
        <w:pageBreakBefore w:val="0"/>
        <w:widowControl w:val="0"/>
        <w:kinsoku/>
        <w:wordWrap/>
        <w:overflowPunct/>
        <w:topLinePunct w:val="0"/>
        <w:autoSpaceDE/>
        <w:autoSpaceDN/>
        <w:bidi w:val="0"/>
        <w:adjustRightInd/>
        <w:snapToGrid/>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2.省对地方转移支付区域绩效目标表（中央专项彩票公益金）</w:t>
      </w:r>
    </w:p>
    <w:p>
      <w:pPr>
        <w:keepNext w:val="0"/>
        <w:keepLines w:val="0"/>
        <w:pageBreakBefore w:val="0"/>
        <w:widowControl w:val="0"/>
        <w:kinsoku/>
        <w:wordWrap/>
        <w:overflowPunct/>
        <w:topLinePunct w:val="0"/>
        <w:autoSpaceDE/>
        <w:autoSpaceDN/>
        <w:bidi w:val="0"/>
        <w:adjustRightInd/>
        <w:snapToGrid/>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3.省对地方转移支付区域绩效目标表（一般公共</w:t>
      </w:r>
      <w:bookmarkStart w:id="2" w:name="_GoBack"/>
      <w:bookmarkEnd w:id="2"/>
      <w:r>
        <w:rPr>
          <w:rFonts w:hint="default" w:ascii="Times New Roman" w:hAnsi="Times New Roman" w:eastAsia="方正仿宋_GBK" w:cs="Times New Roman"/>
          <w:sz w:val="32"/>
          <w:szCs w:val="32"/>
          <w:lang w:val="en-US" w:eastAsia="zh-CN"/>
        </w:rPr>
        <w:t>预算）</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080" w:firstLineChars="19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rPr>
        <w:t>财政局</w:t>
      </w:r>
    </w:p>
    <w:p>
      <w:pPr>
        <w:keepNext w:val="0"/>
        <w:keepLines w:val="0"/>
        <w:pageBreakBefore w:val="0"/>
        <w:kinsoku/>
        <w:wordWrap/>
        <w:overflowPunct/>
        <w:topLinePunct w:val="0"/>
        <w:autoSpaceDE/>
        <w:autoSpaceDN/>
        <w:bidi w:val="0"/>
        <w:adjustRightInd/>
        <w:snapToGrid/>
        <w:spacing w:line="600" w:lineRule="exact"/>
        <w:ind w:left="0" w:leftChars="0"/>
        <w:jc w:val="right"/>
        <w:textAlignment w:val="auto"/>
        <w:outlineLvl w:val="9"/>
        <w:rPr>
          <w:rFonts w:hint="eastAsia" w:ascii="方正黑体_GBK" w:hAnsi="方正黑体_GBK" w:eastAsia="方正黑体_GBK" w:cs="方正黑体_GBK"/>
          <w:b/>
          <w:bCs/>
          <w:sz w:val="32"/>
          <w:szCs w:val="32"/>
          <w:lang w:val="en-US" w:eastAsia="zh-CN"/>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rPr>
      </w:pPr>
    </w:p>
    <w:tbl>
      <w:tblPr>
        <w:tblStyle w:val="5"/>
        <w:tblpPr w:leftFromText="180" w:rightFromText="180" w:vertAnchor="text" w:horzAnchor="page" w:tblpX="2002" w:tblpY="12588"/>
        <w:tblW w:w="9079"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
      <w:tblGrid>
        <w:gridCol w:w="5362"/>
        <w:gridCol w:w="371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284" w:type="dxa"/>
            <w:bottom w:w="0" w:type="dxa"/>
            <w:right w:w="284" w:type="dxa"/>
          </w:tblCellMar>
        </w:tblPrEx>
        <w:trPr>
          <w:trHeight w:val="794" w:hRule="atLeast"/>
          <w:jc w:val="center"/>
        </w:trPr>
        <w:tc>
          <w:tcPr>
            <w:tcW w:w="53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600" w:lineRule="exact"/>
              <w:ind w:firstLine="224" w:firstLineChars="100"/>
              <w:textAlignment w:val="auto"/>
              <w:rPr>
                <w:rFonts w:hint="default" w:ascii="Times New Roman" w:hAnsi="Times New Roman" w:eastAsia="方正仿宋_GBK" w:cs="Times New Roman"/>
                <w:bCs/>
                <w:w w:val="80"/>
                <w:sz w:val="28"/>
                <w:szCs w:val="28"/>
              </w:rPr>
            </w:pPr>
            <w:r>
              <w:rPr>
                <w:rFonts w:hint="default" w:ascii="Times New Roman" w:hAnsi="Times New Roman" w:eastAsia="方正仿宋_GBK" w:cs="Times New Roman"/>
                <w:bCs/>
                <w:w w:val="80"/>
                <w:sz w:val="28"/>
                <w:szCs w:val="28"/>
                <w:lang w:eastAsia="zh-CN"/>
              </w:rPr>
              <w:t>梁河县</w:t>
            </w:r>
            <w:r>
              <w:rPr>
                <w:rFonts w:hint="default" w:ascii="Times New Roman" w:hAnsi="Times New Roman" w:eastAsia="方正仿宋_GBK" w:cs="Times New Roman"/>
                <w:bCs/>
                <w:w w:val="80"/>
                <w:sz w:val="28"/>
                <w:szCs w:val="28"/>
              </w:rPr>
              <w:t>财政局</w:t>
            </w:r>
          </w:p>
        </w:tc>
        <w:tc>
          <w:tcPr>
            <w:tcW w:w="371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Cs/>
                <w:w w:val="80"/>
                <w:sz w:val="28"/>
                <w:szCs w:val="28"/>
              </w:rPr>
            </w:pPr>
            <w:r>
              <w:rPr>
                <w:rFonts w:hint="default" w:ascii="Times New Roman" w:hAnsi="Times New Roman" w:eastAsia="方正仿宋_GBK" w:cs="Times New Roman"/>
                <w:bCs/>
                <w:w w:val="80"/>
                <w:sz w:val="28"/>
                <w:szCs w:val="28"/>
              </w:rPr>
              <w:t>20</w:t>
            </w:r>
            <w:r>
              <w:rPr>
                <w:rFonts w:hint="default" w:ascii="Times New Roman" w:hAnsi="Times New Roman" w:eastAsia="方正仿宋_GBK" w:cs="Times New Roman"/>
                <w:bCs/>
                <w:w w:val="80"/>
                <w:sz w:val="28"/>
                <w:szCs w:val="28"/>
                <w:lang w:val="en-US" w:eastAsia="zh-CN"/>
              </w:rPr>
              <w:t>22</w:t>
            </w:r>
            <w:r>
              <w:rPr>
                <w:rFonts w:hint="default" w:ascii="Times New Roman" w:hAnsi="Times New Roman" w:eastAsia="方正仿宋_GBK" w:cs="Times New Roman"/>
                <w:bCs/>
                <w:w w:val="80"/>
                <w:sz w:val="28"/>
                <w:szCs w:val="28"/>
              </w:rPr>
              <w:t>年</w:t>
            </w:r>
            <w:r>
              <w:rPr>
                <w:rFonts w:hint="default" w:ascii="Times New Roman" w:hAnsi="Times New Roman" w:eastAsia="方正仿宋_GBK" w:cs="Times New Roman"/>
                <w:bCs/>
                <w:w w:val="80"/>
                <w:sz w:val="28"/>
                <w:szCs w:val="28"/>
                <w:lang w:val="en-US" w:eastAsia="zh-CN"/>
              </w:rPr>
              <w:t>2</w:t>
            </w:r>
            <w:r>
              <w:rPr>
                <w:rFonts w:hint="default" w:ascii="Times New Roman" w:hAnsi="Times New Roman" w:eastAsia="方正仿宋_GBK" w:cs="Times New Roman"/>
                <w:bCs/>
                <w:w w:val="80"/>
                <w:sz w:val="28"/>
                <w:szCs w:val="28"/>
              </w:rPr>
              <w:t>月</w:t>
            </w:r>
            <w:r>
              <w:rPr>
                <w:rFonts w:hint="default" w:ascii="Times New Roman" w:hAnsi="Times New Roman" w:eastAsia="方正仿宋_GBK" w:cs="Times New Roman"/>
                <w:bCs/>
                <w:w w:val="80"/>
                <w:sz w:val="28"/>
                <w:szCs w:val="28"/>
                <w:lang w:val="en-US" w:eastAsia="zh-CN"/>
              </w:rPr>
              <w:t>22</w:t>
            </w:r>
            <w:r>
              <w:rPr>
                <w:rFonts w:hint="default" w:ascii="Times New Roman" w:hAnsi="Times New Roman" w:eastAsia="方正仿宋_GBK" w:cs="Times New Roman"/>
                <w:bCs/>
                <w:w w:val="80"/>
                <w:sz w:val="28"/>
                <w:szCs w:val="28"/>
              </w:rPr>
              <w:t>日印发</w:t>
            </w:r>
          </w:p>
        </w:tc>
      </w:tr>
    </w:tbl>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rPr>
        <w:sectPr>
          <w:footerReference r:id="rId3" w:type="default"/>
          <w:pgSz w:w="11906" w:h="16838"/>
          <w:pgMar w:top="1440" w:right="1800" w:bottom="1440" w:left="1800" w:header="851" w:footer="992" w:gutter="0"/>
          <w:cols w:space="425" w:num="1"/>
          <w:docGrid w:type="lines" w:linePitch="312" w:charSpace="0"/>
        </w:sectPr>
      </w:pPr>
    </w:p>
    <w:tbl>
      <w:tblPr>
        <w:tblStyle w:val="5"/>
        <w:tblW w:w="13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62"/>
        <w:gridCol w:w="1575"/>
        <w:gridCol w:w="810"/>
        <w:gridCol w:w="1170"/>
        <w:gridCol w:w="705"/>
        <w:gridCol w:w="794"/>
        <w:gridCol w:w="1501"/>
        <w:gridCol w:w="1815"/>
        <w:gridCol w:w="960"/>
        <w:gridCol w:w="1200"/>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962" w:type="dxa"/>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附件1</w:t>
            </w:r>
          </w:p>
        </w:tc>
        <w:tc>
          <w:tcPr>
            <w:tcW w:w="1575"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810"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1170"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705"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794"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1501"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1815"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960"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1200"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846"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3338" w:type="dxa"/>
            <w:gridSpan w:val="11"/>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2022年中央财政残疾人事业发展补助资金分配表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962" w:type="dxa"/>
            <w:tcBorders>
              <w:top w:val="nil"/>
              <w:left w:val="nil"/>
              <w:bottom w:val="nil"/>
              <w:right w:val="nil"/>
            </w:tcBorders>
            <w:tcMar>
              <w:top w:w="12" w:type="dxa"/>
              <w:left w:w="12" w:type="dxa"/>
              <w:right w:w="12" w:type="dxa"/>
            </w:tcMar>
            <w:vAlign w:val="center"/>
          </w:tcPr>
          <w:p>
            <w:pPr>
              <w:rPr>
                <w:rFonts w:hint="default" w:ascii="Times New Roman" w:hAnsi="Times New Roman" w:eastAsia="宋体" w:cs="Times New Roman"/>
                <w:i w:val="0"/>
                <w:color w:val="000000"/>
                <w:sz w:val="24"/>
                <w:szCs w:val="24"/>
                <w:u w:val="none"/>
              </w:rPr>
            </w:pPr>
          </w:p>
        </w:tc>
        <w:tc>
          <w:tcPr>
            <w:tcW w:w="1575" w:type="dxa"/>
            <w:tcBorders>
              <w:top w:val="nil"/>
              <w:left w:val="nil"/>
              <w:bottom w:val="nil"/>
              <w:right w:val="nil"/>
            </w:tcBorders>
            <w:tcMar>
              <w:top w:w="12" w:type="dxa"/>
              <w:left w:w="12" w:type="dxa"/>
              <w:right w:w="12" w:type="dxa"/>
            </w:tcMar>
            <w:vAlign w:val="center"/>
          </w:tcPr>
          <w:p>
            <w:pPr>
              <w:rPr>
                <w:rFonts w:hint="default" w:ascii="Times New Roman" w:hAnsi="Times New Roman" w:eastAsia="宋体" w:cs="Times New Roman"/>
                <w:i w:val="0"/>
                <w:color w:val="000000"/>
                <w:sz w:val="24"/>
                <w:szCs w:val="24"/>
                <w:u w:val="none"/>
              </w:rPr>
            </w:pPr>
          </w:p>
        </w:tc>
        <w:tc>
          <w:tcPr>
            <w:tcW w:w="810" w:type="dxa"/>
            <w:tcBorders>
              <w:top w:val="nil"/>
              <w:left w:val="nil"/>
              <w:bottom w:val="nil"/>
              <w:right w:val="nil"/>
            </w:tcBorders>
            <w:tcMar>
              <w:top w:w="12" w:type="dxa"/>
              <w:left w:w="12" w:type="dxa"/>
              <w:right w:w="12" w:type="dxa"/>
            </w:tcMar>
            <w:vAlign w:val="center"/>
          </w:tcPr>
          <w:p>
            <w:pPr>
              <w:rPr>
                <w:rFonts w:hint="eastAsia" w:ascii="Tahoma" w:hAnsi="Tahoma" w:eastAsia="Tahoma" w:cs="Tahoma"/>
                <w:i w:val="0"/>
                <w:color w:val="000000"/>
                <w:sz w:val="24"/>
                <w:szCs w:val="24"/>
                <w:u w:val="none"/>
              </w:rPr>
            </w:pPr>
          </w:p>
        </w:tc>
        <w:tc>
          <w:tcPr>
            <w:tcW w:w="1170" w:type="dxa"/>
            <w:tcBorders>
              <w:top w:val="nil"/>
              <w:left w:val="nil"/>
              <w:bottom w:val="nil"/>
              <w:right w:val="nil"/>
            </w:tcBorders>
            <w:tcMar>
              <w:top w:w="12" w:type="dxa"/>
              <w:left w:w="12" w:type="dxa"/>
              <w:right w:w="12" w:type="dxa"/>
            </w:tcMar>
            <w:vAlign w:val="center"/>
          </w:tcPr>
          <w:p>
            <w:pPr>
              <w:rPr>
                <w:rFonts w:hint="default" w:ascii="Tahoma" w:hAnsi="Tahoma" w:eastAsia="Tahoma" w:cs="Tahoma"/>
                <w:i w:val="0"/>
                <w:color w:val="000000"/>
                <w:sz w:val="24"/>
                <w:szCs w:val="24"/>
                <w:u w:val="none"/>
              </w:rPr>
            </w:pPr>
          </w:p>
        </w:tc>
        <w:tc>
          <w:tcPr>
            <w:tcW w:w="705" w:type="dxa"/>
            <w:tcBorders>
              <w:top w:val="nil"/>
              <w:left w:val="nil"/>
              <w:bottom w:val="nil"/>
              <w:right w:val="nil"/>
            </w:tcBorders>
            <w:tcMar>
              <w:top w:w="12" w:type="dxa"/>
              <w:left w:w="12" w:type="dxa"/>
              <w:right w:w="12" w:type="dxa"/>
            </w:tcMar>
            <w:vAlign w:val="center"/>
          </w:tcPr>
          <w:p>
            <w:pPr>
              <w:rPr>
                <w:rFonts w:hint="default" w:ascii="Tahoma" w:hAnsi="Tahoma" w:eastAsia="Tahoma" w:cs="Tahoma"/>
                <w:i w:val="0"/>
                <w:color w:val="000000"/>
                <w:sz w:val="24"/>
                <w:szCs w:val="24"/>
                <w:u w:val="none"/>
              </w:rPr>
            </w:pPr>
          </w:p>
        </w:tc>
        <w:tc>
          <w:tcPr>
            <w:tcW w:w="794" w:type="dxa"/>
            <w:tcBorders>
              <w:top w:val="nil"/>
              <w:left w:val="nil"/>
              <w:bottom w:val="nil"/>
              <w:right w:val="nil"/>
            </w:tcBorders>
            <w:tcMar>
              <w:top w:w="12" w:type="dxa"/>
              <w:left w:w="12" w:type="dxa"/>
              <w:right w:w="12" w:type="dxa"/>
            </w:tcMar>
            <w:vAlign w:val="center"/>
          </w:tcPr>
          <w:p>
            <w:pPr>
              <w:rPr>
                <w:rFonts w:hint="default" w:ascii="Tahoma" w:hAnsi="Tahoma" w:eastAsia="Tahoma" w:cs="Tahoma"/>
                <w:i w:val="0"/>
                <w:color w:val="000000"/>
                <w:sz w:val="24"/>
                <w:szCs w:val="24"/>
                <w:u w:val="none"/>
              </w:rPr>
            </w:pPr>
          </w:p>
        </w:tc>
        <w:tc>
          <w:tcPr>
            <w:tcW w:w="1501" w:type="dxa"/>
            <w:tcBorders>
              <w:top w:val="nil"/>
              <w:left w:val="nil"/>
              <w:bottom w:val="nil"/>
              <w:right w:val="nil"/>
            </w:tcBorders>
            <w:tcMar>
              <w:top w:w="12" w:type="dxa"/>
              <w:left w:w="12" w:type="dxa"/>
              <w:right w:w="12" w:type="dxa"/>
            </w:tcMar>
            <w:vAlign w:val="center"/>
          </w:tcPr>
          <w:p>
            <w:pPr>
              <w:rPr>
                <w:rFonts w:hint="default" w:ascii="Tahoma" w:hAnsi="Tahoma" w:eastAsia="Tahoma" w:cs="Tahoma"/>
                <w:i w:val="0"/>
                <w:color w:val="000000"/>
                <w:sz w:val="24"/>
                <w:szCs w:val="24"/>
                <w:u w:val="none"/>
              </w:rPr>
            </w:pPr>
          </w:p>
        </w:tc>
        <w:tc>
          <w:tcPr>
            <w:tcW w:w="1815" w:type="dxa"/>
            <w:tcBorders>
              <w:top w:val="nil"/>
              <w:left w:val="nil"/>
              <w:bottom w:val="nil"/>
              <w:right w:val="nil"/>
            </w:tcBorders>
            <w:tcMar>
              <w:top w:w="12" w:type="dxa"/>
              <w:left w:w="12" w:type="dxa"/>
              <w:right w:w="12" w:type="dxa"/>
            </w:tcMar>
            <w:vAlign w:val="center"/>
          </w:tcPr>
          <w:p>
            <w:pPr>
              <w:rPr>
                <w:rFonts w:hint="default" w:ascii="Tahoma" w:hAnsi="Tahoma" w:eastAsia="Tahoma" w:cs="Tahoma"/>
                <w:i w:val="0"/>
                <w:color w:val="000000"/>
                <w:sz w:val="24"/>
                <w:szCs w:val="24"/>
                <w:u w:val="none"/>
              </w:rPr>
            </w:pPr>
          </w:p>
        </w:tc>
        <w:tc>
          <w:tcPr>
            <w:tcW w:w="960" w:type="dxa"/>
            <w:tcBorders>
              <w:top w:val="nil"/>
              <w:left w:val="nil"/>
              <w:bottom w:val="nil"/>
              <w:right w:val="nil"/>
            </w:tcBorders>
            <w:tcMar>
              <w:top w:w="12" w:type="dxa"/>
              <w:left w:w="12" w:type="dxa"/>
              <w:right w:w="12" w:type="dxa"/>
            </w:tcMar>
            <w:vAlign w:val="center"/>
          </w:tcPr>
          <w:p>
            <w:pPr>
              <w:rPr>
                <w:rFonts w:hint="default" w:ascii="Tahoma" w:hAnsi="Tahoma" w:eastAsia="Tahoma" w:cs="Tahoma"/>
                <w:i w:val="0"/>
                <w:color w:val="000000"/>
                <w:sz w:val="24"/>
                <w:szCs w:val="24"/>
                <w:u w:val="none"/>
              </w:rPr>
            </w:pPr>
          </w:p>
        </w:tc>
        <w:tc>
          <w:tcPr>
            <w:tcW w:w="1200" w:type="dxa"/>
            <w:tcBorders>
              <w:top w:val="nil"/>
              <w:left w:val="nil"/>
              <w:bottom w:val="nil"/>
              <w:right w:val="nil"/>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c>
          <w:tcPr>
            <w:tcW w:w="846" w:type="dxa"/>
            <w:tcBorders>
              <w:top w:val="nil"/>
              <w:left w:val="nil"/>
              <w:bottom w:val="nil"/>
              <w:right w:val="nil"/>
            </w:tcBorders>
            <w:tcMar>
              <w:top w:w="12" w:type="dxa"/>
              <w:left w:w="12" w:type="dxa"/>
              <w:right w:w="12" w:type="dxa"/>
            </w:tcMar>
            <w:vAlign w:val="center"/>
          </w:tcPr>
          <w:p>
            <w:pPr>
              <w:rPr>
                <w:rFonts w:hint="default" w:ascii="Tahoma" w:hAnsi="Tahoma" w:eastAsia="Tahoma" w:cs="Tahom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96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5054" w:type="dxa"/>
            <w:gridSpan w:val="5"/>
            <w:tcBorders>
              <w:top w:val="single" w:color="000000" w:sz="4" w:space="0"/>
              <w:left w:val="single" w:color="000000" w:sz="4" w:space="0"/>
              <w:bottom w:val="single" w:color="000000" w:sz="4" w:space="0"/>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中央彩票公益金（2296006用于残疾人事业的彩票公益金支出）</w:t>
            </w:r>
          </w:p>
        </w:tc>
        <w:tc>
          <w:tcPr>
            <w:tcW w:w="4276"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120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4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7" w:hRule="atLeast"/>
        </w:trPr>
        <w:tc>
          <w:tcPr>
            <w:tcW w:w="196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残疾儿童康复救助</w:t>
            </w:r>
          </w:p>
        </w:tc>
        <w:tc>
          <w:tcPr>
            <w:tcW w:w="8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残疾人家庭无障碍改造</w:t>
            </w:r>
          </w:p>
        </w:tc>
        <w:tc>
          <w:tcPr>
            <w:tcW w:w="1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困难智力、精神和重度残疾人残疾评定补贴</w:t>
            </w: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残疾人文化</w:t>
            </w:r>
          </w:p>
        </w:tc>
        <w:tc>
          <w:tcPr>
            <w:tcW w:w="7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残疾人康复（2081104残疾人康复）</w:t>
            </w:r>
          </w:p>
        </w:tc>
        <w:tc>
          <w:tcPr>
            <w:tcW w:w="1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农村残疾人实用技术培训（2081105 残疾人就业和扶贫）</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0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4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7" w:hRule="atLeast"/>
        </w:trPr>
        <w:tc>
          <w:tcPr>
            <w:tcW w:w="19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梁河县残疾人联合会</w:t>
            </w:r>
          </w:p>
        </w:tc>
        <w:tc>
          <w:tcPr>
            <w:tcW w:w="1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50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c>
          <w:tcPr>
            <w:tcW w:w="1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8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r>
    </w:tbl>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lang w:eastAsia="zh-CN"/>
        </w:rPr>
        <w:sectPr>
          <w:pgSz w:w="16838" w:h="11906" w:orient="landscape"/>
          <w:pgMar w:top="1417" w:right="2098" w:bottom="1361" w:left="1984" w:header="851" w:footer="1134" w:gutter="0"/>
          <w:pgBorders>
            <w:top w:val="none" w:sz="0" w:space="0"/>
            <w:left w:val="none" w:sz="0" w:space="0"/>
            <w:bottom w:val="none" w:sz="0" w:space="0"/>
            <w:right w:val="none" w:sz="0" w:space="0"/>
          </w:pgBorders>
          <w:pgNumType w:fmt="decimal" w:chapStyle="1"/>
          <w:cols w:space="720" w:num="1"/>
          <w:rtlGutter w:val="0"/>
          <w:docGrid w:type="lines" w:linePitch="314" w:charSpace="0"/>
        </w:sectPr>
      </w:pPr>
    </w:p>
    <w:tbl>
      <w:tblPr>
        <w:tblStyle w:val="5"/>
        <w:tblW w:w="91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3"/>
        <w:gridCol w:w="1096"/>
        <w:gridCol w:w="887"/>
        <w:gridCol w:w="4343"/>
        <w:gridCol w:w="1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73" w:type="dxa"/>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附件2</w:t>
            </w:r>
          </w:p>
        </w:tc>
        <w:tc>
          <w:tcPr>
            <w:tcW w:w="1096"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87"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343"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848"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147" w:type="dxa"/>
            <w:gridSpan w:val="5"/>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2022年中央彩票公益金绩效表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56"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61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中央专项彩票公益金支持残疾人事业发展补助资金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56"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省级主管部门</w:t>
            </w:r>
          </w:p>
        </w:tc>
        <w:tc>
          <w:tcPr>
            <w:tcW w:w="61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云南省残疾人联合会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资金情况（万元）</w:t>
            </w:r>
          </w:p>
        </w:tc>
        <w:tc>
          <w:tcPr>
            <w:tcW w:w="198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实施期额：</w:t>
            </w:r>
          </w:p>
        </w:tc>
        <w:tc>
          <w:tcPr>
            <w:tcW w:w="61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198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其中：中央补助</w:t>
            </w:r>
          </w:p>
        </w:tc>
        <w:tc>
          <w:tcPr>
            <w:tcW w:w="61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198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地方资金</w:t>
            </w:r>
          </w:p>
        </w:tc>
        <w:tc>
          <w:tcPr>
            <w:tcW w:w="619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总体目标</w:t>
            </w:r>
          </w:p>
        </w:tc>
        <w:tc>
          <w:tcPr>
            <w:tcW w:w="8174"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174"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为符合条件的0-6岁残疾儿童提供人工耳蜗及助听器验配、肢体矫治手术、功能训练等基本康复服务，改善残疾儿童功能状况，不断提高残疾儿童生活自理能力，增强社会参与。为有需求的肢体残疾儿童提供亲自同训、家长培训等以家庭为中心的早期干预康复服务，改善残疾儿童功能状况，不断提高残疾儿童生活自理能力，增强社会参与。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2.支持困难重度残疾人实施家庭无障碍改造，改善残疾人居家环境。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3.为困难智力、精神和重度残疾人提供残疾评定补贴，减轻残疾人经济负担。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4.继续推进残疾人文化进家庭“五个一”项目，使残疾人参与文化生活的需要得到满足。扶持州市、县级残联融媒体建设，使残联传播力、影响力进一步提升。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7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09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8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434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得到残疾评定补贴的残疾人数</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困难重度残疾人家庭无障碍改造惠及户数</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残疾人文化进家庭“五个一”完成户数</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扶持州市、县级残联融媒体建设个数</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有需求的残疾儿童康复救助率</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残疾人家庭无障碍改造补助标准</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残疾人文化进家庭“五个一”补助标准</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残疾人评定补贴标准</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残疾儿童康复服务总有效率</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残疾人享有公共文化服务水平</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残疾儿童及家长对基本康复服务的满意度</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接受无障碍改造残疾人家庭满意度</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97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3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残疾人及亲友对残疾人能享有的文化服务的满意度</w:t>
            </w:r>
          </w:p>
        </w:tc>
        <w:tc>
          <w:tcPr>
            <w:tcW w:w="1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rPr>
      </w:pPr>
    </w:p>
    <w:tbl>
      <w:tblPr>
        <w:tblStyle w:val="5"/>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4"/>
        <w:gridCol w:w="971"/>
        <w:gridCol w:w="1256"/>
        <w:gridCol w:w="972"/>
        <w:gridCol w:w="1930"/>
        <w:gridCol w:w="1256"/>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824" w:type="dxa"/>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附件3</w:t>
            </w:r>
          </w:p>
        </w:tc>
        <w:tc>
          <w:tcPr>
            <w:tcW w:w="971"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1256"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972"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1930"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1256" w:type="dxa"/>
            <w:tcBorders>
              <w:top w:val="nil"/>
              <w:left w:val="nil"/>
              <w:bottom w:val="nil"/>
              <w:right w:val="nil"/>
            </w:tcBorders>
            <w:tcMar>
              <w:top w:w="12" w:type="dxa"/>
              <w:left w:w="12" w:type="dxa"/>
              <w:right w:w="12" w:type="dxa"/>
            </w:tcMar>
            <w:vAlign w:val="center"/>
          </w:tcPr>
          <w:p>
            <w:pPr>
              <w:rPr>
                <w:rFonts w:hint="eastAsia" w:ascii="黑体" w:hAnsi="宋体" w:eastAsia="黑体" w:cs="黑体"/>
                <w:i w:val="0"/>
                <w:color w:val="000000"/>
                <w:sz w:val="24"/>
                <w:szCs w:val="24"/>
                <w:u w:val="none"/>
              </w:rPr>
            </w:pPr>
          </w:p>
        </w:tc>
        <w:tc>
          <w:tcPr>
            <w:tcW w:w="1971"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180" w:type="dxa"/>
            <w:gridSpan w:val="7"/>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9180" w:type="dxa"/>
            <w:gridSpan w:val="7"/>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（2022年度·一般公共预算·德宏州）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02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15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02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中央主管部门</w:t>
            </w:r>
          </w:p>
        </w:tc>
        <w:tc>
          <w:tcPr>
            <w:tcW w:w="515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795"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省级财政部门</w:t>
            </w:r>
          </w:p>
        </w:tc>
        <w:tc>
          <w:tcPr>
            <w:tcW w:w="222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云南省财政厅</w:t>
            </w:r>
          </w:p>
        </w:tc>
        <w:tc>
          <w:tcPr>
            <w:tcW w:w="1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省级主管部门</w:t>
            </w:r>
          </w:p>
        </w:tc>
        <w:tc>
          <w:tcPr>
            <w:tcW w:w="3227"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19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实施期金额：</w:t>
            </w:r>
          </w:p>
        </w:tc>
        <w:tc>
          <w:tcPr>
            <w:tcW w:w="515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19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其中：中央补助</w:t>
            </w:r>
          </w:p>
        </w:tc>
        <w:tc>
          <w:tcPr>
            <w:tcW w:w="515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19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地方资金</w:t>
            </w:r>
          </w:p>
        </w:tc>
        <w:tc>
          <w:tcPr>
            <w:tcW w:w="515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356"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356"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目标1：以残疾儿童、持证残疾人为重点，持续开展精准康复服务，扩大康复服务供给，为有康复服务需求的残疾人提供个性化的康复服务，推动实现残疾人“人人享有康复服务”的目标。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目标2：通过农村困难残疾人实用技术培训项目的实施，进一步巩固拓展脱贫攻坚成果，让更多有需求的残疾人获得生产劳动技能，促进就业增收。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1" w:type="dxa"/>
            <w:vMerge w:val="restart"/>
            <w:tcBorders>
              <w:top w:val="single" w:color="000000" w:sz="4" w:space="0"/>
              <w:left w:val="single" w:color="000000" w:sz="4" w:space="0"/>
              <w:bottom w:val="nil"/>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2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有需求的困难残疾人得到残疾人基本康复服务比例</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1"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残疾人辅助器具适配率</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1"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培训农村困难残疾人人次数</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1"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接受农村实用技术培训残疾人掌握的生产技能数量</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1"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向本行政区域县级以上财政部门下达补助资金</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收到补助资金后30日内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1"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项目完成时间</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效果指标</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关心、理解、支持残疾人的社会氛围</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15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残疾人及其家属对残疾人服务的满意度</w:t>
            </w:r>
          </w:p>
        </w:tc>
        <w:tc>
          <w:tcPr>
            <w:tcW w:w="19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rPr>
      </w:pPr>
    </w:p>
    <w:p/>
    <w:p/>
    <w:p/>
    <w:sectPr>
      <w:pgSz w:w="11906" w:h="16838"/>
      <w:pgMar w:top="2098" w:right="1361" w:bottom="1984" w:left="1417" w:header="851" w:footer="1134" w:gutter="0"/>
      <w:pgBorders w:offsetFrom="page">
        <w:top w:val="none" w:sz="0" w:space="0"/>
        <w:left w:val="none" w:sz="0" w:space="0"/>
        <w:bottom w:val="none" w:sz="0" w:space="0"/>
        <w:right w:val="none" w:sz="0" w:space="0"/>
      </w:pgBorders>
      <w:pgNumType w:fmt="decimal" w:chapStyle="1"/>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rPr>
    </w:pPr>
    <w:r>
      <w:rPr>
        <w:rStyle w:val="8"/>
        <w:rFonts w:hint="eastAsia"/>
        <w:color w:val="FFFFFF"/>
      </w:rPr>
      <w:t>——</w:t>
    </w:r>
    <w:r>
      <w:rPr>
        <w:rStyle w:val="8"/>
        <w:rFonts w:hint="eastAsia"/>
        <w:b/>
        <w:sz w:val="28"/>
        <w:szCs w:val="28"/>
      </w:rPr>
      <w:t>—</w:t>
    </w:r>
    <w:r>
      <w:rPr>
        <w:rStyle w:val="8"/>
        <w:rFonts w:hint="eastAsia"/>
        <w:color w:val="FFFFFF"/>
      </w:rPr>
      <w:t>—</w:t>
    </w:r>
    <w:r>
      <w:rPr>
        <w:rFonts w:ascii="宋体" w:hAnsi="宋体"/>
        <w:b/>
        <w:sz w:val="28"/>
        <w:szCs w:val="28"/>
      </w:rPr>
      <w:fldChar w:fldCharType="begin"/>
    </w:r>
    <w:r>
      <w:rPr>
        <w:rStyle w:val="8"/>
        <w:rFonts w:ascii="宋体" w:hAnsi="宋体"/>
        <w:b/>
        <w:sz w:val="28"/>
        <w:szCs w:val="28"/>
      </w:rPr>
      <w:instrText xml:space="preserve">PAGE  </w:instrText>
    </w:r>
    <w:r>
      <w:rPr>
        <w:rFonts w:ascii="宋体" w:hAnsi="宋体"/>
        <w:b/>
        <w:sz w:val="28"/>
        <w:szCs w:val="28"/>
      </w:rPr>
      <w:fldChar w:fldCharType="separate"/>
    </w:r>
    <w:r>
      <w:rPr>
        <w:rStyle w:val="8"/>
        <w:rFonts w:ascii="宋体" w:hAnsi="宋体"/>
        <w:b/>
        <w:sz w:val="28"/>
        <w:szCs w:val="28"/>
      </w:rPr>
      <w:t>2</w:t>
    </w:r>
    <w:r>
      <w:rPr>
        <w:rFonts w:ascii="宋体" w:hAnsi="宋体"/>
        <w:b/>
        <w:sz w:val="28"/>
        <w:szCs w:val="28"/>
      </w:rPr>
      <w:fldChar w:fldCharType="end"/>
    </w:r>
    <w:r>
      <w:rPr>
        <w:rStyle w:val="8"/>
        <w:rFonts w:hint="eastAsia"/>
        <w:color w:val="FFFFFF"/>
      </w:rPr>
      <w:t>—</w:t>
    </w:r>
    <w:r>
      <w:rPr>
        <w:rStyle w:val="8"/>
        <w:rFonts w:hint="eastAsia"/>
        <w:b/>
        <w:sz w:val="28"/>
        <w:szCs w:val="28"/>
      </w:rPr>
      <w:t>—</w:t>
    </w:r>
    <w:r>
      <w:rPr>
        <w:rStyle w:val="8"/>
        <w:rFonts w:hint="eastAsia"/>
        <w:color w:val="FFFFFF"/>
      </w:rPr>
      <w:t>——</w:t>
    </w:r>
  </w:p>
  <w:p>
    <w:pPr>
      <w:pStyle w:val="3"/>
      <w:ind w:right="360" w:firstLine="360"/>
      <w:rPr>
        <w:rStyle w:val="8"/>
        <w:szCs w:val="28"/>
      </w:rPr>
    </w:pPr>
  </w:p>
  <w:p>
    <w:pPr>
      <w:pStyle w:val="3"/>
      <w:ind w:right="360" w:firstLine="360"/>
      <w:rPr>
        <w:rStyle w:val="8"/>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75352"/>
    <w:rsid w:val="1A175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仿宋_GB2312" w:cs="宋体"/>
      <w:b/>
      <w:bCs/>
      <w:kern w:val="36"/>
      <w:sz w:val="48"/>
      <w:szCs w:val="48"/>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0"/>
    <w:rPr>
      <w:rFonts w:ascii="Times New Roman" w:hAnsi="Times New Roman" w:eastAsia="宋体" w:cs="Times New Roman"/>
    </w:rPr>
  </w:style>
  <w:style w:type="character" w:customStyle="1" w:styleId="9">
    <w:name w:val="font61"/>
    <w:basedOn w:val="7"/>
    <w:qFormat/>
    <w:uiPriority w:val="0"/>
    <w:rPr>
      <w:rFonts w:ascii="宋体" w:hAnsi="宋体" w:eastAsia="宋体" w:cs="宋体"/>
      <w:color w:val="000000"/>
      <w:sz w:val="21"/>
      <w:szCs w:val="21"/>
      <w:u w:val="none"/>
    </w:rPr>
  </w:style>
  <w:style w:type="character" w:customStyle="1" w:styleId="10">
    <w:name w:val="font101"/>
    <w:basedOn w:val="7"/>
    <w:qFormat/>
    <w:uiPriority w:val="0"/>
    <w:rPr>
      <w:rFonts w:ascii="仿宋" w:hAnsi="仿宋" w:eastAsia="仿宋" w:cs="仿宋"/>
      <w:color w:val="000000"/>
      <w:sz w:val="20"/>
      <w:szCs w:val="20"/>
      <w:u w:val="none"/>
    </w:rPr>
  </w:style>
  <w:style w:type="character" w:customStyle="1" w:styleId="11">
    <w:name w:val="font71"/>
    <w:basedOn w:val="7"/>
    <w:qFormat/>
    <w:uiPriority w:val="0"/>
    <w:rPr>
      <w:rFonts w:ascii="宋体" w:hAnsi="宋体" w:eastAsia="宋体" w:cs="宋体"/>
      <w:color w:val="000000"/>
      <w:sz w:val="21"/>
      <w:szCs w:val="21"/>
      <w:u w:val="none"/>
    </w:rPr>
  </w:style>
  <w:style w:type="character" w:customStyle="1" w:styleId="12">
    <w:name w:val="font01"/>
    <w:basedOn w:val="7"/>
    <w:qFormat/>
    <w:uiPriority w:val="0"/>
    <w:rPr>
      <w:rFonts w:ascii="仿宋" w:hAnsi="仿宋" w:eastAsia="仿宋" w:cs="仿宋"/>
      <w:color w:val="000000"/>
      <w:sz w:val="20"/>
      <w:szCs w:val="20"/>
      <w:u w:val="none"/>
    </w:rPr>
  </w:style>
  <w:style w:type="character" w:customStyle="1" w:styleId="13">
    <w:name w:val="font41"/>
    <w:basedOn w:val="7"/>
    <w:qFormat/>
    <w:uiPriority w:val="0"/>
    <w:rPr>
      <w:rFonts w:hint="eastAsia" w:ascii="宋体" w:hAnsi="宋体" w:eastAsia="宋体" w:cs="宋体"/>
      <w:color w:val="000000"/>
      <w:sz w:val="20"/>
      <w:szCs w:val="20"/>
      <w:u w:val="none"/>
    </w:rPr>
  </w:style>
  <w:style w:type="character" w:customStyle="1" w:styleId="14">
    <w:name w:val="font81"/>
    <w:basedOn w:val="7"/>
    <w:qFormat/>
    <w:uiPriority w:val="0"/>
    <w:rPr>
      <w:rFonts w:hint="eastAsia" w:ascii="宋体" w:hAnsi="宋体" w:eastAsia="宋体" w:cs="宋体"/>
      <w:color w:val="000000"/>
      <w:sz w:val="20"/>
      <w:szCs w:val="20"/>
      <w:u w:val="none"/>
    </w:rPr>
  </w:style>
  <w:style w:type="character" w:customStyle="1" w:styleId="15">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花花世界</cp:lastModifiedBy>
  <dcterms:modified xsi:type="dcterms:W3CDTF">2024-06-18T12:08:29Z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97A4957AE504414BA04720C3A1E27E59</vt:lpwstr>
  </property>
</Properties>
</file>