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pacing w:line="580" w:lineRule="exact"/>
        <w:ind w:left="0" w:right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梁财社〔2021〕107号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pacing w:line="580" w:lineRule="exact"/>
        <w:ind w:left="0" w:right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关于下达2021年第二批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中央医疗服务与保障能力提升补助资金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（医疗保障服务能力提升部分）的通知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梁河县医疗保障局：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根据《德宏州财政局 德宏州医疗保障局关于下达2021年第二批中央医疗服务与保障能力提升补助资金（医疗保障服务能力提升部分）的通知》（德财社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100号）文件精神，现下2021年第二批中央医疗服务与保障能力提升补助资金(医疗保障服务能力提升部分，项目代码 Z155080000004 ) 6万元(详见附件)。现将有关事项通知如下: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一、该项资金收入请列入 “1100249-医疗卫生共同财政事权转移支付收入”预算科目，支出科目详见附件。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二、2021年中央医疗服务与保障能力提升补助资金(医疗保障服务能力提升部分)列入直达资金管理，该项直达资金的标识为“01中央直达资金”，贯穿资金分配、拨付、使用等整个环节，且保持不变。各县市财政部门应在接到中央直达资金指标发文后，及时制定分配方案，在规定的时间内下达预算资金。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三、2021年中央医疗服务与保障能力提升补助资金(医疗保障服务能力提升部分)重点用于医保信息化、基金监管和支付方式改革等方面工作。为提高资金使用效益，请医保部门切实加强资金管理，提高资金使用效益，结合本地实际，统筹安排并使用好中央财政补助资金和地方财政补助资金，提升医疗保障经办和服务能力。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四、请用款单位按照有关要求做好指标安排相关工作。同时，为进一步加强预算绩效管理，切实提高财政资金使用效益，请在组织预算执行中对照你县市区域绩效目标做好绩效监控，确保年度绩效目标如期实现，同时做好预算绩效管理工作。州级医保部门负责对本州绩效目标完成情况进行考核，考核结果与下年度中央财政补助资金安排挂钩。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五、请单位收到项目纸质指标文件3个工作日内，登录预算管理一体化服务平台完成项目申报工作。以便于及时下达资金。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pacing w:line="580" w:lineRule="exact"/>
        <w:ind w:left="1598" w:right="0" w:hanging="96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附件：1.德宏州2021年第二批中央财政医疗服务与保障能力提升补助资金(医疗保障服务能力提升部分)下达表</w:t>
      </w:r>
    </w:p>
    <w:p>
      <w:pPr>
        <w:keepNext w:val="0"/>
        <w:keepLines w:val="0"/>
        <w:pageBreakBefore w:val="0"/>
        <w:widowControl w:val="0"/>
        <w:spacing w:line="580" w:lineRule="exact"/>
        <w:ind w:left="1596" w:right="0" w:firstLine="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>2.2021年第二批中央财政医疗服务与保障能力提升补助资金(医疗保障服务能力提升部分)绩效目标表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spacing w:line="580" w:lineRule="exact"/>
        <w:ind w:left="0" w:right="0" w:firstLine="6400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20"/>
        </w:tabs>
        <w:spacing w:line="580" w:lineRule="exact"/>
        <w:ind w:left="0" w:right="0" w:firstLine="6400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jc w:val="center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梁河县财政局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jc w:val="right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2021年6月24日</w:t>
      </w:r>
    </w:p>
    <w:p>
      <w:pPr>
        <w:keepNext w:val="0"/>
        <w:keepLines w:val="0"/>
        <w:pageBreakBefore w:val="0"/>
        <w:widowControl w:val="0"/>
        <w:spacing w:line="580" w:lineRule="exact"/>
        <w:ind w:left="0" w:right="0" w:firstLine="640"/>
        <w:outlineLvl w:val="9"/>
        <w:rPr>
          <w:rFonts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10"/>
        </w:tabs>
        <w:spacing w:line="580" w:lineRule="exact"/>
        <w:ind w:right="0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210"/>
        </w:tabs>
        <w:spacing w:line="580" w:lineRule="exact"/>
        <w:ind w:left="0" w:right="0" w:firstLine="6240"/>
        <w:outlineLvl w:val="9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210"/>
        </w:tabs>
        <w:spacing w:line="580" w:lineRule="exact"/>
        <w:ind w:left="0" w:right="0"/>
        <w:outlineLvl w:val="9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 w:orient="landscape"/>
          <w:pgMar w:top="1440" w:right="1800" w:bottom="1440" w:left="1800" w:header="851" w:footer="992" w:gutter="0"/>
          <w:cols w:space="1701" w:num="1"/>
        </w:sectPr>
      </w:pPr>
    </w:p>
    <w:p>
      <w:pPr>
        <w:keepNext w:val="0"/>
        <w:keepLines w:val="0"/>
        <w:pageBreakBefore w:val="0"/>
        <w:widowControl w:val="0"/>
        <w:spacing w:line="56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spacing w:line="560" w:lineRule="exact"/>
        <w:jc w:val="center"/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德宏州 2021 年第二批中央财政医疗服务与保障能力提升补助资金(医疗保障服务能力提升部分)下达表</w:t>
      </w:r>
    </w:p>
    <w:p>
      <w:pPr>
        <w:tabs>
          <w:tab w:val="left" w:pos="6210"/>
        </w:tabs>
        <w:spacing w:line="500" w:lineRule="exact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;万元</w:t>
      </w:r>
    </w:p>
    <w:p>
      <w:pPr>
        <w:tabs>
          <w:tab w:val="left" w:pos="6210"/>
        </w:tabs>
        <w:spacing w:line="500" w:lineRule="exact"/>
        <w:jc w:val="left"/>
        <w:rPr>
          <w:rFonts w:ascii="仿宋_GB2312" w:eastAsia="仿宋_GB2312"/>
          <w:sz w:val="32"/>
          <w:szCs w:val="32"/>
          <w:lang w:val="en-US" w:eastAsia="zh-CN"/>
        </w:rPr>
      </w:pPr>
    </w:p>
    <w:tbl>
      <w:tblPr>
        <w:tblStyle w:val="28"/>
        <w:tblW w:w="0" w:type="auto"/>
        <w:tblInd w:w="-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2" w:type="dxa"/>
          <w:left w:w="12" w:type="dxa"/>
          <w:bottom w:w="0" w:type="dxa"/>
          <w:right w:w="12" w:type="dxa"/>
        </w:tblCellMar>
      </w:tblPr>
      <w:tblGrid>
        <w:gridCol w:w="2205"/>
        <w:gridCol w:w="2851"/>
        <w:gridCol w:w="2745"/>
        <w:gridCol w:w="2216"/>
        <w:gridCol w:w="3211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979" w:hRule="atLeast"/>
        </w:trPr>
        <w:tc>
          <w:tcPr>
            <w:tcW w:w="220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8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支出功能分类科目</w:t>
            </w:r>
          </w:p>
        </w:tc>
        <w:tc>
          <w:tcPr>
            <w:tcW w:w="274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部门预算经济科目</w:t>
            </w:r>
          </w:p>
        </w:tc>
        <w:tc>
          <w:tcPr>
            <w:tcW w:w="221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政府预算经济科目</w:t>
            </w:r>
          </w:p>
        </w:tc>
        <w:tc>
          <w:tcPr>
            <w:tcW w:w="32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966" w:hRule="atLeast"/>
        </w:trPr>
        <w:tc>
          <w:tcPr>
            <w:tcW w:w="220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梁河县医疗保障局</w:t>
            </w:r>
          </w:p>
        </w:tc>
        <w:tc>
          <w:tcPr>
            <w:tcW w:w="285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2101501 行政运行</w:t>
            </w:r>
          </w:p>
        </w:tc>
        <w:tc>
          <w:tcPr>
            <w:tcW w:w="274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31002办公设备购置</w:t>
            </w:r>
          </w:p>
        </w:tc>
        <w:tc>
          <w:tcPr>
            <w:tcW w:w="2216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50306 设备购置</w:t>
            </w:r>
          </w:p>
        </w:tc>
        <w:tc>
          <w:tcPr>
            <w:tcW w:w="3211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69" w:hRule="atLeast"/>
        </w:trPr>
        <w:tc>
          <w:tcPr>
            <w:tcW w:w="220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2101501 行政运行</w:t>
            </w:r>
          </w:p>
        </w:tc>
        <w:tc>
          <w:tcPr>
            <w:tcW w:w="274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30207 邮电费</w:t>
            </w:r>
          </w:p>
        </w:tc>
        <w:tc>
          <w:tcPr>
            <w:tcW w:w="221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50201 办公经费</w:t>
            </w:r>
          </w:p>
        </w:tc>
        <w:tc>
          <w:tcPr>
            <w:tcW w:w="32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99" w:hRule="atLeast"/>
        </w:trPr>
        <w:tc>
          <w:tcPr>
            <w:tcW w:w="220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2101501 行政运行</w:t>
            </w:r>
          </w:p>
        </w:tc>
        <w:tc>
          <w:tcPr>
            <w:tcW w:w="274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30206 电费</w:t>
            </w:r>
          </w:p>
        </w:tc>
        <w:tc>
          <w:tcPr>
            <w:tcW w:w="221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50201 办公经费</w:t>
            </w:r>
          </w:p>
        </w:tc>
        <w:tc>
          <w:tcPr>
            <w:tcW w:w="32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795" w:hRule="atLeast"/>
        </w:trPr>
        <w:tc>
          <w:tcPr>
            <w:tcW w:w="220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5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1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6838" w:h="11906"/>
          <w:pgMar w:top="1531" w:right="2098" w:bottom="1474" w:left="1531" w:header="851" w:footer="1134" w:gutter="0"/>
          <w:cols w:space="1701" w:num="1"/>
        </w:sectPr>
      </w:pPr>
    </w:p>
    <w:tbl>
      <w:tblPr>
        <w:tblStyle w:val="28"/>
        <w:tblW w:w="0" w:type="auto"/>
        <w:tblInd w:w="-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12" w:type="dxa"/>
          <w:left w:w="12" w:type="dxa"/>
          <w:bottom w:w="0" w:type="dxa"/>
          <w:right w:w="12" w:type="dxa"/>
        </w:tblCellMar>
      </w:tblPr>
      <w:tblGrid>
        <w:gridCol w:w="1029"/>
        <w:gridCol w:w="1080"/>
        <w:gridCol w:w="885"/>
        <w:gridCol w:w="2256"/>
        <w:gridCol w:w="1215"/>
        <w:gridCol w:w="150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黑体_GBK" w:hAnsi="方正黑体_GBK" w:eastAsia="方正黑体_GBK" w:cs="方正黑体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附件2</w:t>
            </w:r>
          </w:p>
        </w:tc>
        <w:tc>
          <w:tcPr>
            <w:tcW w:w="10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5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840" w:hRule="atLeast"/>
        </w:trPr>
        <w:tc>
          <w:tcPr>
            <w:tcW w:w="7965" w:type="dxa"/>
            <w:gridSpan w:val="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2021年第二批中央财政医疗服务与保障能力提升补助资金</w:t>
            </w:r>
            <w:r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br w:type="textWrapping" w:clear="all"/>
            </w:r>
            <w:r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(医疗保障服务能力提升部分)绩效目标表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48" w:hRule="atLeast"/>
        </w:trPr>
        <w:tc>
          <w:tcPr>
            <w:tcW w:w="7965" w:type="dxa"/>
            <w:gridSpan w:val="6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第二批医疗服务与保障能力提升补助资金（医疗保障服务能力提升部分）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州（市）</w:t>
            </w: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德宏州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财政部门</w:t>
            </w: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德宏州财政局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德宏州医疗保障局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资金情况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br w:type="textWrapping" w:clear="all"/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梁河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560" w:hRule="atLeast"/>
        </w:trPr>
        <w:tc>
          <w:tcPr>
            <w:tcW w:w="1029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6936" w:type="dxa"/>
            <w:gridSpan w:val="5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有效提升综合监管、宣传引导、经办服务、信息化建设、人才队伍建设等医疗保障服务能力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绩 效 指 标</w:t>
            </w:r>
          </w:p>
        </w:tc>
        <w:tc>
          <w:tcPr>
            <w:tcW w:w="108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8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471" w:type="dxa"/>
            <w:gridSpan w:val="2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梁河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507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88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召开医保工作新闻发布会、政策吹风会次数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≥2次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37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召开医保工作信息公开工作会议或培训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≥1次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567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规范</w:t>
            </w: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性文件和政策措施的合法性审查、公平竞争审查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全覆盖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04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医保信息系统验收合格率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79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医保信息系统正常运行率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44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医保信息系统重大安全事件响应时间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≤60分钟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9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医保信息系统运行维护响应时间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≤30分钟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医保人才培养合格率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40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定点医药机构监督检查覆盖率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07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推行医保支付方式改革和DRG试点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逐步推开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基本医保参保率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46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普通门诊费用跨省直接结算统筹地区覆盖率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4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医保法治按建设能力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4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基金预警和风险防控能力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4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医保经办服务能力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57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医保综合监管能力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40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医保宣传能力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28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医保标准化水平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医药服务价格动态调整与深化医疗服务价格改革试点执行情况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按时按要求落实和执行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12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医药价格和招采信用评价制度建立和实施情况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按时按要求落实和执行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336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5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集中采购落实情况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按时按要求落实和执行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12" w:type="dxa"/>
            <w:left w:w="12" w:type="dxa"/>
            <w:bottom w:w="0" w:type="dxa"/>
            <w:right w:w="12" w:type="dxa"/>
          </w:tblCellMar>
        </w:tblPrEx>
        <w:trPr>
          <w:trHeight w:val="576" w:hRule="atLeast"/>
        </w:trPr>
        <w:tc>
          <w:tcPr>
            <w:tcW w:w="1029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85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3471" w:type="dxa"/>
            <w:gridSpan w:val="2"/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参保人员对医保服务的满意度</w:t>
            </w:r>
          </w:p>
        </w:tc>
        <w:tc>
          <w:tcPr>
            <w:tcW w:w="1500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方正仿宋_GBK" w:hAnsi="方正仿宋_GBK" w:eastAsia="方正仿宋_GBK" w:cs="方正仿宋_GBK"/>
                <w:i w:val="0"/>
                <w:color w:val="000000"/>
                <w:sz w:val="18"/>
                <w:szCs w:val="18"/>
                <w:u w:val="none"/>
                <w:lang w:val="en-US" w:eastAsia="zh-CN" w:bidi="ar"/>
              </w:rPr>
              <w:t>≥70%</w:t>
            </w:r>
          </w:p>
        </w:tc>
      </w:tr>
    </w:tbl>
    <w:p>
      <w:pPr>
        <w:keepNext w:val="0"/>
        <w:keepLines w:val="0"/>
        <w:pageBreakBefore w:val="0"/>
        <w:spacing w:line="240" w:lineRule="auto"/>
        <w:ind w:left="0" w:right="0"/>
        <w:jc w:val="both"/>
        <w:outlineLvl w:val="9"/>
        <w:rPr>
          <w:rFonts w:hint="eastAsia" w:ascii="仿宋_GB2312" w:eastAsia="仿宋_GB2312"/>
          <w:sz w:val="24"/>
          <w:szCs w:val="24"/>
          <w:lang w:eastAsia="zh-CN"/>
        </w:rPr>
      </w:pPr>
    </w:p>
    <w:sectPr>
      <w:pgSz w:w="11906" w:h="16838" w:orient="landscape"/>
      <w:pgMar w:top="2098" w:right="1474" w:bottom="1531" w:left="1531" w:header="851" w:footer="1134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Narrow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6"/>
      <w:framePr w:wrap="around" w:vAnchor="text" w:hAnchor="margin" w:xAlign="center" w:y="1"/>
      <w:rPr>
        <w:rStyle w:val="187"/>
      </w:rPr>
    </w:pPr>
    <w:r>
      <w:fldChar w:fldCharType="begin"/>
    </w:r>
    <w:r>
      <w:rPr>
        <w:rStyle w:val="187"/>
      </w:rPr>
      <w:instrText xml:space="preserve">PAGE  </w:instrText>
    </w:r>
    <w:r>
      <w:fldChar w:fldCharType="separate"/>
    </w:r>
    <w:r>
      <w:rPr>
        <w:rStyle w:val="187"/>
      </w:rPr>
      <w:t>- 1 -</w:t>
    </w:r>
    <w:r>
      <w:fldChar w:fldCharType="end"/>
    </w:r>
  </w:p>
  <w:p>
    <w:pPr>
      <w:pStyle w:val="18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00EF1"/>
    <w:rsid w:val="6E532D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1"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uiPriority w:val="10"/>
    <w:rPr>
      <w:sz w:val="48"/>
      <w:szCs w:val="48"/>
    </w:rPr>
  </w:style>
  <w:style w:type="character" w:customStyle="1" w:styleId="46">
    <w:name w:val="Subtitle Char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link w:val="18"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文档结构图1"/>
    <w:basedOn w:val="1"/>
    <w:semiHidden/>
    <w:uiPriority w:val="0"/>
    <w:pPr>
      <w:shd w:val="clear" w:color="auto" w:fill="000080"/>
    </w:pPr>
  </w:style>
  <w:style w:type="paragraph" w:customStyle="1" w:styleId="185">
    <w:name w:val="日期1"/>
    <w:basedOn w:val="1"/>
    <w:next w:val="1"/>
    <w:uiPriority w:val="0"/>
    <w:pPr>
      <w:ind w:left="100"/>
    </w:pPr>
  </w:style>
  <w:style w:type="paragraph" w:customStyle="1" w:styleId="186">
    <w:name w:val="页脚1"/>
    <w:basedOn w:val="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7">
    <w:name w:val="页码1"/>
    <w:basedOn w:val="182"/>
    <w:link w:val="1"/>
    <w:uiPriority w:val="0"/>
    <w:rPr>
      <w:rFonts w:ascii="Times New Roman" w:hAnsi="Times New Roman" w:eastAsia="宋体" w:cs="Times New Roman"/>
    </w:rPr>
  </w:style>
  <w:style w:type="character" w:customStyle="1" w:styleId="188">
    <w:name w:val="font51"/>
    <w:basedOn w:val="182"/>
    <w:link w:val="1"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189">
    <w:name w:val="font31"/>
    <w:basedOn w:val="182"/>
    <w:link w:val="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0">
    <w:name w:val="font61"/>
    <w:basedOn w:val="182"/>
    <w:link w:val="1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1">
    <w:name w:val="font21"/>
    <w:basedOn w:val="182"/>
    <w:link w:val="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</dc:creator>
  <cp:lastModifiedBy>花花世界</cp:lastModifiedBy>
  <dcterms:modified xsi:type="dcterms:W3CDTF">2024-06-19T06:53:14Z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D6FAF135A55D49DD89971CB4FB2C3B9A</vt:lpwstr>
  </property>
</Properties>
</file>