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B09A9">
      <w:pPr>
        <w:keepNext w:val="0"/>
        <w:keepLines w:val="0"/>
        <w:pageBreakBefore w:val="0"/>
        <w:kinsoku/>
        <w:wordWrap/>
        <w:overflowPunct/>
        <w:topLinePunct w:val="0"/>
        <w:bidi w:val="0"/>
        <w:adjustRightInd/>
        <w:ind w:firstLine="640" w:firstLineChars="200"/>
        <w:rPr>
          <w:rFonts w:hint="default" w:ascii="Times New Roman" w:hAnsi="Times New Roman" w:eastAsia="方正仿宋_GBK" w:cs="Times New Roman"/>
          <w:b/>
          <w:sz w:val="32"/>
          <w:szCs w:val="32"/>
          <w:lang w:eastAsia="zh-CN"/>
        </w:rPr>
      </w:pPr>
      <w:r>
        <w:rPr>
          <w:sz w:val="32"/>
        </w:rPr>
        <mc:AlternateContent>
          <mc:Choice Requires="wps">
            <w:drawing>
              <wp:anchor distT="0" distB="0" distL="114300" distR="114300" simplePos="0" relativeHeight="251660288"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3" name="KGD_Gobal1" descr="lskY7P30+39SSS2ze3CC/K/M8ZD8WrMxr90tavlhx+hBJ6gm74M565ToP+mNOQaC0cdcF7S03qH2QkUx2iwP5n8FkSnjLqTIRHRGFJ8jG43U5/EQC25+Gj5Wb7dev3jAk2c5ZlPnEdhU1rryz68e/gxRyM3MQGgVWBzHvsxaAZZDPYugb2hNt+zKLRlty569KsfKF4WQ4h2FwvepU4YQnprkNGJiU4AEQjDc6wuu263Ly4eMD6jb8yo+7wkKaAnnClg0tT7zJn6jEL0ZfyTZ0darvMPsY0xvW0D+WROnmgl1gQ7d5RnJG/lJThzhgeg2cO+svG2ufjLZBKWxMjKe82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M8ZD8WrMxr90tavlhx+hBJ6gm74M565ToP+mNOQaC0cdcF7S03qH2QkUx2iwP5n8FkSnjLqTIRHRGFJ8jG43U5/EQC25+Gj5Wb7dev3jAk2c5ZlPnEdhU1rryz68e/gxRyM3MQGgVWBzHvsxaAZZDPYugb2hNt+zKLRlty569KsfKF4WQ4h2FwvepU4YQnprkNGJiU4AEQjDc6wuu263Ly4eMD6jb8yo+7wkKaAnnClg0tT7zJn6jEL0ZfyTZ0darvMPsY0xvW0D+WROnmgl1gQ7d5RnJG/lJThzhgeg2cO+svG2ufjLZBKWxMjKe82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style="position:absolute;left:0pt;margin-left:-100.15pt;margin-top:-62pt;height:5pt;width:5pt;visibility:hidden;z-index:25166028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b4xXt9sAAAAPAQAADwAAAAAAAAABACAAAAAiAAAAZHJzL2Rvd25yZXYueG1sUEsBAhQAFAAAAAgA&#10;h07iQBYQV4iyBQAAAAkAAA4AAAAAAAAAAQAgAAAAKgEAAGRycy9lMm9Eb2MueG1sUEsFBgAAAAAG&#10;AAYAWQEAAE4JAAAAAA==&#10;">
                <v:fill on="t" focussize="0,0"/>
                <v:stroke weight="1pt" color="#41719C [3204]" miterlimit="8" joinstyle="miter"/>
                <v:imagedata o:title=""/>
                <o:lock v:ext="edit" aspectratio="f"/>
              </v:rect>
            </w:pict>
          </mc:Fallback>
        </mc:AlternateContent>
      </w:r>
    </w:p>
    <w:p w14:paraId="3C9FB63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Cs/>
          <w:spacing w:val="0"/>
          <w:sz w:val="44"/>
          <w:szCs w:val="44"/>
          <w:lang w:val="en-US" w:eastAsia="zh-CN"/>
        </w:rPr>
        <w:t>梁河县财政局</w:t>
      </w:r>
      <w:r>
        <w:rPr>
          <w:rFonts w:hint="default" w:ascii="Times New Roman" w:hAnsi="Times New Roman" w:eastAsia="方正小标宋_GBK" w:cs="Times New Roman"/>
          <w:sz w:val="44"/>
          <w:szCs w:val="44"/>
          <w:lang w:eastAsia="zh-CN"/>
        </w:rPr>
        <w:t>关于提前下达</w:t>
      </w:r>
      <w:r>
        <w:rPr>
          <w:rFonts w:hint="default" w:ascii="Times New Roman" w:hAnsi="Times New Roman" w:eastAsia="方正小标宋_GBK" w:cs="Times New Roman"/>
          <w:sz w:val="44"/>
          <w:szCs w:val="44"/>
          <w:lang w:val="en-US" w:eastAsia="zh-CN"/>
        </w:rPr>
        <w:t>2023年中央</w:t>
      </w:r>
    </w:p>
    <w:p w14:paraId="3C73271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优抚对象补助经费预算（第二批）</w:t>
      </w:r>
    </w:p>
    <w:p w14:paraId="24F43B9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的通知</w:t>
      </w:r>
    </w:p>
    <w:p w14:paraId="1B5D3B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p>
    <w:p w14:paraId="247B41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14:paraId="2E5D47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提高预算完整性，加快支出进度，根据《德宏州财政局关于提前下达2023年中央优抚对象补助经费预算（第二批）的通知》（德财社〔2022〕216号），现下达你单位2023年中央优抚对象补助经费预算（第二批）（具体金额详见附件），现将有关事项通知如下：</w:t>
      </w:r>
    </w:p>
    <w:p w14:paraId="65B392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该项指标收入列入2023年政府收支分类科目“1100248社会保障和就业共同财政事权转移支付收入”科目，支出列入“20808抚恤”科目，（详见附件1），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14:paraId="42164E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此次安排资金主要用于两个方面：一是伤残人员（含残疾军人、伤残人民警察、伤残国家机关工作人员、伤残民兵民工）、“三属”（烈士、因公牺牲和病故军人家属）、在乡老复员军人、带病回乡退伍军人、在农村的和城镇无工作单位且家庭生活困难的参战退役人员、部分原8023部队及其他参加核试验军队退役人员，以及符合条件的农村籍退役士兵、老烈士子女（含中华人民共和国成立前错杀后被平反人员的子女）、参与铀矿开采军队退役人员等人员抚恤和生活补助支出。二是中华人民共和国成立</w:t>
      </w:r>
      <w:bookmarkStart w:id="0" w:name="_GoBack"/>
      <w:bookmarkEnd w:id="0"/>
      <w:r>
        <w:rPr>
          <w:rFonts w:hint="default" w:ascii="Times New Roman" w:hAnsi="Times New Roman" w:eastAsia="方正仿宋_GBK" w:cs="Times New Roman"/>
          <w:sz w:val="32"/>
          <w:szCs w:val="32"/>
          <w:lang w:val="en-US" w:eastAsia="zh-CN"/>
        </w:rPr>
        <w:t>前入党的农村老党员和未享受离退休待遇的城镇老党员生活补贴支出。各县市按规定的补助标准，统筹使用中央财政和中央管理的党费安排的补助资金，以及地方安排的补助资金。</w:t>
      </w:r>
    </w:p>
    <w:p w14:paraId="1D45D0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安排的资金为直达资金，各部门在下达直达资金预算指标时，项目名称应与上级财政部门预算指标发文中的有关项目保持一致，并准确标注直达资金标识；及时在指标管理系统中登录有关指标和直达资金标识，导入直达资金监控系统，确保数据真实、账目清晰、流向明确。对于资金来源既包含中央直达资金又包含地方对应安排资金的项目，在预算指标文件、指标管理系统可按资金明细来源分别列示，在指标系统中分别登录；同时切实加快资金支出进度，</w:t>
      </w:r>
      <w:r>
        <w:rPr>
          <w:sz w:val="32"/>
        </w:rPr>
        <mc:AlternateContent>
          <mc:Choice Requires="wps">
            <w:drawing>
              <wp:anchor distT="0" distB="0" distL="114300" distR="114300" simplePos="0" relativeHeight="251659264" behindDoc="1" locked="0" layoutInCell="1" hidden="1" allowOverlap="1">
                <wp:simplePos x="0" y="0"/>
                <wp:positionH relativeFrom="column">
                  <wp:posOffset>-4925060</wp:posOffset>
                </wp:positionH>
                <wp:positionV relativeFrom="paragraph">
                  <wp:posOffset>-6260465</wp:posOffset>
                </wp:positionV>
                <wp:extent cx="15120620" cy="21384260"/>
                <wp:effectExtent l="0" t="0" r="0" b="0"/>
                <wp:wrapNone/>
                <wp:docPr id="5"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visibility:hidden;z-index:-251657216;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CUT6NveA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tgzOPaAAAADwEAAA8AAAAAAAAAAQAgAAAAIgAA&#10;AGRycy9kb3ducmV2LnhtbFBLAQIUABQAAAAIAIdO4kCUT6NveAIAADwFAAAOAAAAAAAAAAEAIAAA&#10;ACkBAABkcnMvZTJvRG9jLnhtbFBLBQYAAAAABgAGAFkBAAAT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确保于2023年度内形成支出。</w:t>
      </w:r>
    </w:p>
    <w:p w14:paraId="2B383C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四、请各部门按照《中共中央 国务院关于全面实施预算绩效管理的意见》的要求，切实提高财政资金使用效益，在组织预算执行中对照区域绩效目标做好绩效监控，确保年度绩效目标如期实现。</w:t>
      </w:r>
    </w:p>
    <w:p w14:paraId="49C2E9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14:paraId="2AB9A88C">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lang w:val="en-US" w:eastAsia="zh-CN"/>
        </w:rPr>
      </w:pPr>
    </w:p>
    <w:p w14:paraId="76625A31">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附件：1.提前下达2023年中央优抚对象补助经费预算（第二批）分配表</w:t>
      </w:r>
    </w:p>
    <w:p w14:paraId="2871D044">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2.提前下达2023年中央优抚对象补助经费预算（第二批）绩效目标表 </w:t>
      </w:r>
    </w:p>
    <w:p w14:paraId="401AC08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p>
    <w:p w14:paraId="322B167D">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5310D0C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14:paraId="7ADAD2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11</w:t>
      </w:r>
      <w:r>
        <w:rPr>
          <w:rFonts w:hint="eastAsia" w:ascii="Times New Roman" w:hAnsi="Times New Roman" w:eastAsia="方正仿宋_GBK" w:cs="方正仿宋_GBK"/>
          <w:sz w:val="32"/>
          <w:szCs w:val="32"/>
          <w:lang w:eastAsia="zh-CN"/>
        </w:rPr>
        <w:t>日</w:t>
      </w:r>
    </w:p>
    <w:p w14:paraId="1E4F3463">
      <w:pPr>
        <w:pStyle w:val="2"/>
        <w:ind w:left="0" w:leftChars="0" w:firstLine="0" w:firstLineChars="0"/>
        <w:rPr>
          <w:rFonts w:hint="eastAsia" w:ascii="Times New Roman" w:hAnsi="Times New Roman" w:eastAsia="方正仿宋_GBK" w:cs="方正仿宋_GBK"/>
          <w:sz w:val="32"/>
          <w:szCs w:val="32"/>
          <w:lang w:eastAsia="zh-CN"/>
        </w:rPr>
      </w:pPr>
    </w:p>
    <w:p w14:paraId="15FAA153">
      <w:pPr>
        <w:pStyle w:val="2"/>
        <w:rPr>
          <w:rFonts w:hint="eastAsia" w:ascii="Times New Roman" w:hAnsi="Times New Roman" w:eastAsia="方正仿宋_GBK" w:cs="方正仿宋_GBK"/>
          <w:sz w:val="32"/>
          <w:szCs w:val="32"/>
          <w:lang w:eastAsia="zh-CN"/>
        </w:rPr>
      </w:pPr>
    </w:p>
    <w:p w14:paraId="130E780F">
      <w:pPr>
        <w:pStyle w:val="2"/>
        <w:rPr>
          <w:rFonts w:hint="eastAsia" w:ascii="Times New Roman" w:hAnsi="Times New Roman" w:eastAsia="方正仿宋_GBK" w:cs="方正仿宋_GBK"/>
          <w:sz w:val="32"/>
          <w:szCs w:val="32"/>
          <w:lang w:eastAsia="zh-CN"/>
        </w:rPr>
      </w:pPr>
    </w:p>
    <w:p w14:paraId="74FDDC56">
      <w:pPr>
        <w:pStyle w:val="2"/>
        <w:rPr>
          <w:rFonts w:hint="eastAsia" w:ascii="Times New Roman" w:hAnsi="Times New Roman" w:eastAsia="方正仿宋_GBK" w:cs="方正仿宋_GBK"/>
          <w:sz w:val="32"/>
          <w:szCs w:val="32"/>
          <w:lang w:eastAsia="zh-CN"/>
        </w:rPr>
      </w:pPr>
    </w:p>
    <w:p w14:paraId="5BD8E312">
      <w:pPr>
        <w:pStyle w:val="2"/>
        <w:ind w:left="0" w:leftChars="0" w:firstLine="0" w:firstLineChars="0"/>
        <w:rPr>
          <w:rFonts w:hint="eastAsia" w:ascii="Times New Roman" w:hAnsi="Times New Roman" w:eastAsia="方正仿宋_GBK" w:cs="方正仿宋_GBK"/>
          <w:sz w:val="32"/>
          <w:szCs w:val="32"/>
          <w:lang w:eastAsia="zh-CN"/>
        </w:rPr>
      </w:pPr>
    </w:p>
    <w:p w14:paraId="262D19FE">
      <w:pPr>
        <w:pStyle w:val="2"/>
        <w:ind w:left="0" w:leftChars="0" w:firstLine="0" w:firstLineChars="0"/>
        <w:rPr>
          <w:rFonts w:hint="default" w:ascii="Times New Roman" w:hAnsi="Times New Roman" w:eastAsia="方正仿宋_GBK" w:cs="方正仿宋_GBK"/>
          <w:sz w:val="32"/>
          <w:szCs w:val="32"/>
          <w:lang w:val="en-US" w:eastAsia="zh-CN"/>
        </w:rPr>
        <w:sectPr>
          <w:pgSz w:w="11906" w:h="16838"/>
          <w:pgMar w:top="1440" w:right="1803" w:bottom="1440" w:left="1803" w:header="851" w:footer="992" w:gutter="0"/>
          <w:cols w:space="0" w:num="1"/>
          <w:rtlGutter w:val="0"/>
          <w:docGrid w:type="lines" w:linePitch="325" w:charSpace="0"/>
        </w:sectPr>
      </w:pPr>
    </w:p>
    <w:p w14:paraId="6D7328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附件</w:t>
      </w:r>
      <w:r>
        <w:rPr>
          <w:rFonts w:hint="eastAsia" w:ascii="仿宋_GB2312" w:hAnsi="仿宋_GB2312" w:eastAsia="仿宋_GB2312" w:cs="Times New Roman"/>
          <w:sz w:val="32"/>
          <w:szCs w:val="32"/>
          <w:lang w:val="en-US" w:eastAsia="zh-CN"/>
        </w:rPr>
        <w:t>1</w:t>
      </w:r>
      <w:r>
        <w:rPr>
          <w:rFonts w:hint="eastAsia" w:ascii="仿宋_GB2312" w:hAnsi="仿宋_GB2312" w:eastAsia="仿宋_GB2312" w:cs="Times New Roman"/>
          <w:sz w:val="32"/>
          <w:szCs w:val="32"/>
        </w:rPr>
        <w:t>：</w:t>
      </w:r>
    </w:p>
    <w:p w14:paraId="3A623063">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提前下达2023年中央优抚对象补助经费预算（第二批）分配表</w:t>
      </w:r>
    </w:p>
    <w:p w14:paraId="27300564">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单位：万元</w:t>
      </w:r>
    </w:p>
    <w:p w14:paraId="2B97EF95">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207"/>
        <w:gridCol w:w="2448"/>
        <w:gridCol w:w="2462"/>
        <w:gridCol w:w="2745"/>
        <w:gridCol w:w="2915"/>
        <w:gridCol w:w="1199"/>
      </w:tblGrid>
      <w:tr w14:paraId="56FC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73041A0C">
            <w:pPr>
              <w:jc w:val="center"/>
              <w:rPr>
                <w:rFonts w:hint="eastAsia" w:ascii="仿宋_GB2312" w:hAnsi="仿宋_GB2312"/>
                <w:b/>
                <w:bCs/>
                <w:sz w:val="24"/>
                <w:szCs w:val="24"/>
                <w:lang w:eastAsia="zh-CN"/>
              </w:rPr>
            </w:pPr>
            <w:r>
              <w:rPr>
                <w:rFonts w:hint="eastAsia" w:ascii="仿宋_GB2312" w:hAnsi="仿宋_GB2312"/>
                <w:b/>
                <w:bCs/>
                <w:sz w:val="24"/>
                <w:szCs w:val="24"/>
                <w:lang w:eastAsia="zh-CN"/>
              </w:rPr>
              <w:t>单位</w:t>
            </w:r>
          </w:p>
        </w:tc>
        <w:tc>
          <w:tcPr>
            <w:tcW w:w="426" w:type="pct"/>
            <w:vMerge w:val="restart"/>
            <w:tcBorders>
              <w:top w:val="single" w:color="auto" w:sz="4" w:space="0"/>
              <w:left w:val="nil"/>
              <w:bottom w:val="single" w:color="auto" w:sz="4" w:space="0"/>
              <w:right w:val="single" w:color="auto" w:sz="4" w:space="0"/>
            </w:tcBorders>
            <w:noWrap w:val="0"/>
            <w:vAlign w:val="center"/>
          </w:tcPr>
          <w:p w14:paraId="5C98D29C">
            <w:pPr>
              <w:jc w:val="center"/>
              <w:rPr>
                <w:rFonts w:ascii="仿宋_GB2312" w:hAnsi="仿宋_GB2312"/>
                <w:b/>
                <w:bCs/>
                <w:sz w:val="24"/>
                <w:szCs w:val="24"/>
              </w:rPr>
            </w:pPr>
            <w:r>
              <w:rPr>
                <w:rFonts w:ascii="仿宋_GB2312" w:hAnsi="仿宋_GB2312"/>
                <w:b/>
                <w:bCs/>
                <w:sz w:val="24"/>
                <w:szCs w:val="24"/>
              </w:rPr>
              <w:t>经费合计</w:t>
            </w:r>
          </w:p>
        </w:tc>
        <w:tc>
          <w:tcPr>
            <w:tcW w:w="3731" w:type="pct"/>
            <w:gridSpan w:val="4"/>
            <w:tcBorders>
              <w:top w:val="single" w:color="auto" w:sz="4" w:space="0"/>
              <w:left w:val="nil"/>
              <w:bottom w:val="single" w:color="auto" w:sz="4" w:space="0"/>
              <w:right w:val="single" w:color="auto" w:sz="4" w:space="0"/>
            </w:tcBorders>
            <w:noWrap w:val="0"/>
            <w:vAlign w:val="center"/>
          </w:tcPr>
          <w:p w14:paraId="36418629">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中央抚恤补助经费</w:t>
            </w:r>
            <w:r>
              <w:rPr>
                <w:rFonts w:hint="eastAsia" w:ascii="仿宋_GB2312" w:hAnsi="仿宋_GB2312" w:eastAsia="宋体" w:cs="Times New Roman"/>
                <w:b/>
                <w:bCs/>
                <w:sz w:val="24"/>
                <w:szCs w:val="24"/>
                <w:lang w:eastAsia="zh-CN"/>
              </w:rPr>
              <w:t>（政府预算功能分类科目）</w:t>
            </w:r>
          </w:p>
        </w:tc>
        <w:tc>
          <w:tcPr>
            <w:tcW w:w="423" w:type="pct"/>
            <w:vMerge w:val="restart"/>
            <w:tcBorders>
              <w:top w:val="single" w:color="auto" w:sz="4" w:space="0"/>
              <w:left w:val="nil"/>
              <w:right w:val="single" w:color="auto" w:sz="4" w:space="0"/>
            </w:tcBorders>
            <w:noWrap w:val="0"/>
            <w:vAlign w:val="center"/>
          </w:tcPr>
          <w:p w14:paraId="339B2619">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备注</w:t>
            </w:r>
          </w:p>
        </w:tc>
      </w:tr>
      <w:tr w14:paraId="4FCE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40C58BD">
            <w:pPr>
              <w:jc w:val="center"/>
              <w:rPr>
                <w:rFonts w:hint="eastAsia" w:ascii="仿宋_GB2312" w:hAnsi="仿宋_GB2312"/>
                <w:sz w:val="24"/>
                <w:szCs w:val="24"/>
                <w:lang w:eastAsia="zh-CN"/>
              </w:rPr>
            </w:pPr>
          </w:p>
        </w:tc>
        <w:tc>
          <w:tcPr>
            <w:tcW w:w="426" w:type="pct"/>
            <w:vMerge w:val="continue"/>
            <w:tcBorders>
              <w:top w:val="single" w:color="auto" w:sz="4" w:space="0"/>
              <w:left w:val="nil"/>
              <w:bottom w:val="single" w:color="auto" w:sz="4" w:space="0"/>
              <w:right w:val="single" w:color="auto" w:sz="4" w:space="0"/>
            </w:tcBorders>
            <w:noWrap w:val="0"/>
            <w:vAlign w:val="center"/>
          </w:tcPr>
          <w:p w14:paraId="5A4E5D03">
            <w:pPr>
              <w:widowControl/>
              <w:jc w:val="center"/>
              <w:rPr>
                <w:rFonts w:ascii="仿宋_GB2312" w:hAnsi="仿宋_GB2312"/>
                <w:sz w:val="24"/>
                <w:szCs w:val="24"/>
              </w:rPr>
            </w:pPr>
          </w:p>
        </w:tc>
        <w:tc>
          <w:tcPr>
            <w:tcW w:w="864" w:type="pct"/>
            <w:tcBorders>
              <w:top w:val="single" w:color="auto" w:sz="4" w:space="0"/>
              <w:left w:val="nil"/>
              <w:bottom w:val="single" w:color="auto" w:sz="4" w:space="0"/>
              <w:right w:val="single" w:color="auto" w:sz="4" w:space="0"/>
            </w:tcBorders>
            <w:noWrap w:val="0"/>
            <w:vAlign w:val="center"/>
          </w:tcPr>
          <w:p w14:paraId="6D60A9DF">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伤残抚恤</w:t>
            </w:r>
          </w:p>
          <w:p w14:paraId="61BCE86E">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（2080802伤残抚恤）</w:t>
            </w:r>
          </w:p>
        </w:tc>
        <w:tc>
          <w:tcPr>
            <w:tcW w:w="869" w:type="pct"/>
            <w:tcBorders>
              <w:top w:val="single" w:color="auto" w:sz="4" w:space="0"/>
              <w:left w:val="nil"/>
              <w:bottom w:val="single" w:color="auto" w:sz="4" w:space="0"/>
              <w:right w:val="single" w:color="auto" w:sz="4" w:space="0"/>
            </w:tcBorders>
            <w:noWrap w:val="0"/>
            <w:vAlign w:val="center"/>
          </w:tcPr>
          <w:p w14:paraId="3CAF492D">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死亡抚恤</w:t>
            </w:r>
          </w:p>
          <w:p w14:paraId="7C186ADC">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（2080801死亡抚恤）</w:t>
            </w:r>
          </w:p>
        </w:tc>
        <w:tc>
          <w:tcPr>
            <w:tcW w:w="969" w:type="pct"/>
            <w:tcBorders>
              <w:top w:val="single" w:color="auto" w:sz="4" w:space="0"/>
              <w:left w:val="nil"/>
              <w:bottom w:val="single" w:color="auto" w:sz="4" w:space="0"/>
              <w:right w:val="single" w:color="auto" w:sz="4" w:space="0"/>
            </w:tcBorders>
            <w:noWrap w:val="0"/>
            <w:vAlign w:val="center"/>
          </w:tcPr>
          <w:p w14:paraId="3EC096B2">
            <w:pPr>
              <w:jc w:val="center"/>
              <w:rPr>
                <w:rFonts w:hint="eastAsia" w:ascii="仿宋_GB2312" w:hAnsi="仿宋_GB2312" w:eastAsia="宋体" w:cs="Times New Roman"/>
                <w:b/>
                <w:bCs/>
                <w:sz w:val="24"/>
                <w:szCs w:val="24"/>
                <w:lang w:eastAsia="zh-CN"/>
              </w:rPr>
            </w:pPr>
            <w:r>
              <w:rPr>
                <w:rFonts w:ascii="仿宋_GB2312" w:hAnsi="仿宋_GB2312" w:eastAsia="宋体" w:cs="Times New Roman"/>
                <w:b/>
                <w:bCs/>
                <w:sz w:val="24"/>
                <w:szCs w:val="24"/>
              </w:rPr>
              <w:t>在乡复员退伍军人生活补助</w:t>
            </w:r>
            <w:r>
              <w:rPr>
                <w:rFonts w:hint="eastAsia" w:ascii="仿宋_GB2312" w:hAnsi="仿宋_GB2312" w:eastAsia="宋体" w:cs="Times New Roman"/>
                <w:b/>
                <w:bCs/>
                <w:sz w:val="24"/>
                <w:szCs w:val="24"/>
                <w:lang w:eastAsia="zh-CN"/>
              </w:rPr>
              <w:t>（2080803在乡复员退伍军人生活补助）</w:t>
            </w:r>
          </w:p>
        </w:tc>
        <w:tc>
          <w:tcPr>
            <w:tcW w:w="1028" w:type="pct"/>
            <w:tcBorders>
              <w:top w:val="single" w:color="auto" w:sz="4" w:space="0"/>
              <w:left w:val="nil"/>
              <w:bottom w:val="single" w:color="auto" w:sz="4" w:space="0"/>
              <w:right w:val="single" w:color="auto" w:sz="4" w:space="0"/>
            </w:tcBorders>
            <w:noWrap w:val="0"/>
            <w:vAlign w:val="center"/>
          </w:tcPr>
          <w:p w14:paraId="178727F3">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其他优抚支出</w:t>
            </w:r>
          </w:p>
          <w:p w14:paraId="661B3F30">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（2080899其他优抚支出）</w:t>
            </w:r>
          </w:p>
        </w:tc>
        <w:tc>
          <w:tcPr>
            <w:tcW w:w="423" w:type="pct"/>
            <w:vMerge w:val="continue"/>
            <w:tcBorders>
              <w:left w:val="nil"/>
              <w:bottom w:val="single" w:color="auto" w:sz="4" w:space="0"/>
              <w:right w:val="single" w:color="auto" w:sz="4" w:space="0"/>
            </w:tcBorders>
            <w:noWrap w:val="0"/>
            <w:vAlign w:val="center"/>
          </w:tcPr>
          <w:p w14:paraId="03C9A8D3">
            <w:pPr>
              <w:jc w:val="center"/>
              <w:rPr>
                <w:rFonts w:ascii="仿宋_GB2312" w:hAnsi="仿宋_GB2312" w:eastAsia="宋体" w:cs="Times New Roman"/>
                <w:sz w:val="24"/>
                <w:szCs w:val="24"/>
              </w:rPr>
            </w:pPr>
          </w:p>
        </w:tc>
      </w:tr>
      <w:tr w14:paraId="5B39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419" w:type="pct"/>
            <w:tcBorders>
              <w:top w:val="single" w:color="auto" w:sz="4" w:space="0"/>
              <w:left w:val="single" w:color="auto" w:sz="4" w:space="0"/>
              <w:bottom w:val="single" w:color="auto" w:sz="4" w:space="0"/>
              <w:right w:val="single" w:color="auto" w:sz="4" w:space="0"/>
            </w:tcBorders>
            <w:noWrap w:val="0"/>
            <w:vAlign w:val="center"/>
          </w:tcPr>
          <w:p w14:paraId="508F3C3B">
            <w:pPr>
              <w:jc w:val="center"/>
              <w:rPr>
                <w:rFonts w:hint="eastAsia" w:ascii="仿宋_GB2312" w:hAnsi="仿宋_GB2312"/>
                <w:sz w:val="24"/>
                <w:szCs w:val="24"/>
                <w:lang w:eastAsia="zh-CN"/>
              </w:rPr>
            </w:pPr>
            <w:r>
              <w:rPr>
                <w:rFonts w:hint="default" w:ascii="仿宋_GB2312" w:hAnsi="仿宋_GB2312"/>
                <w:sz w:val="24"/>
                <w:szCs w:val="24"/>
                <w:lang w:eastAsia="zh-CN"/>
              </w:rPr>
              <w:t>梁河县</w:t>
            </w:r>
            <w:r>
              <w:rPr>
                <w:rFonts w:hint="eastAsia" w:ascii="仿宋_GB2312" w:hAnsi="仿宋_GB2312"/>
                <w:sz w:val="24"/>
                <w:szCs w:val="24"/>
                <w:lang w:eastAsia="zh-CN"/>
              </w:rPr>
              <w:t>退役军人事务局</w:t>
            </w:r>
          </w:p>
        </w:tc>
        <w:tc>
          <w:tcPr>
            <w:tcW w:w="426" w:type="pct"/>
            <w:tcBorders>
              <w:top w:val="single" w:color="auto" w:sz="4" w:space="0"/>
              <w:left w:val="nil"/>
              <w:bottom w:val="single" w:color="auto" w:sz="4" w:space="0"/>
              <w:right w:val="single" w:color="auto" w:sz="4" w:space="0"/>
            </w:tcBorders>
            <w:noWrap w:val="0"/>
            <w:vAlign w:val="center"/>
          </w:tcPr>
          <w:p w14:paraId="5E9F4CE5">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i w:val="0"/>
                <w:color w:val="000000"/>
                <w:kern w:val="0"/>
                <w:sz w:val="24"/>
                <w:szCs w:val="24"/>
                <w:u w:val="none"/>
                <w:lang w:val="en-US" w:eastAsia="zh-CN" w:bidi="ar"/>
              </w:rPr>
              <w:t>454</w:t>
            </w:r>
          </w:p>
        </w:tc>
        <w:tc>
          <w:tcPr>
            <w:tcW w:w="864" w:type="pct"/>
            <w:tcBorders>
              <w:top w:val="single" w:color="auto" w:sz="4" w:space="0"/>
              <w:left w:val="nil"/>
              <w:bottom w:val="single" w:color="auto" w:sz="4" w:space="0"/>
              <w:right w:val="single" w:color="auto" w:sz="4" w:space="0"/>
            </w:tcBorders>
            <w:noWrap w:val="0"/>
            <w:vAlign w:val="center"/>
          </w:tcPr>
          <w:p w14:paraId="180C5B15">
            <w:pPr>
              <w:jc w:val="center"/>
              <w:rPr>
                <w:rFonts w:hint="default" w:ascii="仿宋_GB2312" w:hAnsi="仿宋_GB2312"/>
                <w:sz w:val="24"/>
                <w:szCs w:val="24"/>
                <w:lang w:val="en-US" w:eastAsia="zh-CN"/>
              </w:rPr>
            </w:pPr>
            <w:r>
              <w:rPr>
                <w:rFonts w:hint="eastAsia" w:ascii="仿宋_GB2312" w:hAnsi="仿宋_GB2312"/>
                <w:sz w:val="24"/>
                <w:szCs w:val="24"/>
                <w:lang w:val="en-US" w:eastAsia="zh-CN"/>
              </w:rPr>
              <w:t>65.31</w:t>
            </w:r>
          </w:p>
        </w:tc>
        <w:tc>
          <w:tcPr>
            <w:tcW w:w="869" w:type="pct"/>
            <w:tcBorders>
              <w:top w:val="single" w:color="auto" w:sz="4" w:space="0"/>
              <w:left w:val="nil"/>
              <w:bottom w:val="single" w:color="auto" w:sz="4" w:space="0"/>
              <w:right w:val="single" w:color="auto" w:sz="4" w:space="0"/>
            </w:tcBorders>
            <w:noWrap w:val="0"/>
            <w:vAlign w:val="center"/>
          </w:tcPr>
          <w:p w14:paraId="3540352D">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32.5</w:t>
            </w:r>
          </w:p>
        </w:tc>
        <w:tc>
          <w:tcPr>
            <w:tcW w:w="969" w:type="pct"/>
            <w:tcBorders>
              <w:top w:val="single" w:color="auto" w:sz="4" w:space="0"/>
              <w:left w:val="nil"/>
              <w:bottom w:val="single" w:color="auto" w:sz="4" w:space="0"/>
              <w:right w:val="single" w:color="auto" w:sz="4" w:space="0"/>
            </w:tcBorders>
            <w:noWrap w:val="0"/>
            <w:vAlign w:val="center"/>
          </w:tcPr>
          <w:p w14:paraId="38C206E6">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136.23</w:t>
            </w:r>
          </w:p>
        </w:tc>
        <w:tc>
          <w:tcPr>
            <w:tcW w:w="1028" w:type="pct"/>
            <w:tcBorders>
              <w:top w:val="single" w:color="auto" w:sz="4" w:space="0"/>
              <w:left w:val="nil"/>
              <w:bottom w:val="single" w:color="auto" w:sz="4" w:space="0"/>
              <w:right w:val="single" w:color="auto" w:sz="4" w:space="0"/>
            </w:tcBorders>
            <w:noWrap w:val="0"/>
            <w:vAlign w:val="center"/>
          </w:tcPr>
          <w:p w14:paraId="56474718">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color w:val="000000"/>
                <w:sz w:val="24"/>
                <w:szCs w:val="24"/>
                <w:lang w:val="en-US" w:eastAsia="zh-CN"/>
              </w:rPr>
              <w:t>219.96</w:t>
            </w:r>
          </w:p>
        </w:tc>
        <w:tc>
          <w:tcPr>
            <w:tcW w:w="423" w:type="pct"/>
            <w:tcBorders>
              <w:top w:val="single" w:color="auto" w:sz="4" w:space="0"/>
              <w:left w:val="nil"/>
              <w:bottom w:val="single" w:color="auto" w:sz="4" w:space="0"/>
              <w:right w:val="single" w:color="auto" w:sz="4" w:space="0"/>
            </w:tcBorders>
            <w:noWrap w:val="0"/>
            <w:vAlign w:val="center"/>
          </w:tcPr>
          <w:p w14:paraId="6BF1E9A1">
            <w:pPr>
              <w:keepNext w:val="0"/>
              <w:keepLines w:val="0"/>
              <w:widowControl/>
              <w:suppressLineNumbers w:val="0"/>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p>
        </w:tc>
      </w:tr>
    </w:tbl>
    <w:p w14:paraId="37A082D4">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42D289C">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834E9D4">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1EA3EF80">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803" w:right="1440" w:bottom="1803" w:left="1440" w:header="851" w:footer="992" w:gutter="0"/>
          <w:cols w:space="0" w:num="1"/>
          <w:rtlGutter w:val="0"/>
          <w:docGrid w:type="lines" w:linePitch="332" w:charSpace="0"/>
        </w:sectPr>
      </w:pPr>
    </w:p>
    <w:p w14:paraId="2201676F">
      <w:pPr>
        <w:rPr>
          <w:rFonts w:hint="eastAsia" w:ascii="黑体" w:hAnsi="黑体" w:eastAsia="黑体" w:cs="黑体"/>
          <w:b w:val="0"/>
          <w:bCs w:val="0"/>
          <w:sz w:val="30"/>
          <w:szCs w:val="30"/>
        </w:rPr>
      </w:pPr>
      <w:r>
        <w:rPr>
          <w:rFonts w:hint="eastAsia" w:ascii="黑体" w:hAnsi="黑体" w:eastAsia="黑体" w:cs="黑体"/>
          <w:b w:val="0"/>
          <w:bCs w:val="0"/>
          <w:sz w:val="30"/>
          <w:szCs w:val="30"/>
        </w:rPr>
        <w:t>附件2</w:t>
      </w:r>
    </w:p>
    <w:p w14:paraId="469B765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28"/>
          <w:szCs w:val="28"/>
        </w:rPr>
      </w:pPr>
      <w:r>
        <w:rPr>
          <w:rFonts w:hint="eastAsia" w:ascii="黑体" w:hAnsi="黑体" w:eastAsia="黑体" w:cs="黑体"/>
          <w:sz w:val="28"/>
          <w:szCs w:val="28"/>
          <w:lang w:eastAsia="zh-CN"/>
        </w:rPr>
        <w:t>提前下达</w:t>
      </w:r>
      <w:r>
        <w:rPr>
          <w:rFonts w:hint="eastAsia" w:ascii="黑体" w:hAnsi="黑体" w:eastAsia="黑体" w:cs="黑体"/>
          <w:sz w:val="28"/>
          <w:szCs w:val="28"/>
          <w:lang w:val="en-US" w:eastAsia="zh-CN"/>
        </w:rPr>
        <w:t>2023年中央</w:t>
      </w:r>
      <w:r>
        <w:rPr>
          <w:rFonts w:hint="eastAsia" w:ascii="黑体" w:hAnsi="黑体" w:eastAsia="黑体" w:cs="黑体"/>
          <w:sz w:val="28"/>
          <w:szCs w:val="28"/>
        </w:rPr>
        <w:t>优抚对象补助</w:t>
      </w:r>
      <w:r>
        <w:rPr>
          <w:rFonts w:hint="eastAsia" w:ascii="黑体" w:hAnsi="黑体" w:eastAsia="黑体" w:cs="黑体"/>
          <w:sz w:val="28"/>
          <w:szCs w:val="28"/>
          <w:lang w:eastAsia="zh-CN"/>
        </w:rPr>
        <w:t>经费预算（第二批）</w:t>
      </w:r>
      <w:r>
        <w:rPr>
          <w:rFonts w:hint="eastAsia" w:ascii="黑体" w:hAnsi="黑体" w:eastAsia="黑体" w:cs="黑体"/>
          <w:sz w:val="28"/>
          <w:szCs w:val="28"/>
        </w:rPr>
        <w:t>绩效目标表</w:t>
      </w:r>
    </w:p>
    <w:tbl>
      <w:tblPr>
        <w:tblStyle w:val="5"/>
        <w:tblpPr w:leftFromText="180" w:rightFromText="180" w:vertAnchor="text" w:horzAnchor="page" w:tblpX="1207" w:tblpY="82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257"/>
        <w:gridCol w:w="1531"/>
        <w:gridCol w:w="3348"/>
        <w:gridCol w:w="2082"/>
      </w:tblGrid>
      <w:tr w14:paraId="4875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pct"/>
            <w:gridSpan w:val="3"/>
            <w:tcBorders>
              <w:top w:val="single" w:color="auto" w:sz="4" w:space="0"/>
              <w:left w:val="single" w:color="auto" w:sz="4" w:space="0"/>
              <w:bottom w:val="single" w:color="auto" w:sz="4" w:space="0"/>
              <w:right w:val="single" w:color="auto" w:sz="4" w:space="0"/>
            </w:tcBorders>
            <w:noWrap w:val="0"/>
            <w:vAlign w:val="center"/>
          </w:tcPr>
          <w:p w14:paraId="5D73D99A">
            <w:pPr>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0"/>
                <w:sz w:val="28"/>
                <w:szCs w:val="28"/>
              </w:rPr>
              <w:t>项目名称</w:t>
            </w:r>
          </w:p>
        </w:tc>
        <w:tc>
          <w:tcPr>
            <w:tcW w:w="2997" w:type="pct"/>
            <w:gridSpan w:val="2"/>
            <w:tcBorders>
              <w:top w:val="single" w:color="auto" w:sz="4" w:space="0"/>
              <w:left w:val="single" w:color="auto" w:sz="4" w:space="0"/>
              <w:bottom w:val="single" w:color="auto" w:sz="4" w:space="0"/>
              <w:right w:val="single" w:color="auto" w:sz="4" w:space="0"/>
            </w:tcBorders>
            <w:noWrap w:val="0"/>
            <w:vAlign w:val="center"/>
          </w:tcPr>
          <w:p w14:paraId="14E85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提前下达</w:t>
            </w:r>
            <w:r>
              <w:rPr>
                <w:rFonts w:hint="default" w:ascii="Times New Roman" w:hAnsi="Times New Roman" w:eastAsia="方正仿宋_GBK" w:cs="Times New Roman"/>
                <w:kern w:val="0"/>
                <w:sz w:val="28"/>
                <w:szCs w:val="28"/>
                <w:lang w:val="en-US" w:eastAsia="zh-CN"/>
              </w:rPr>
              <w:t>2023年中央</w:t>
            </w:r>
            <w:r>
              <w:rPr>
                <w:rFonts w:hint="default" w:ascii="Times New Roman" w:hAnsi="Times New Roman" w:eastAsia="方正仿宋_GBK" w:cs="Times New Roman"/>
                <w:kern w:val="0"/>
                <w:sz w:val="28"/>
                <w:szCs w:val="28"/>
              </w:rPr>
              <w:t>优抚对象补助</w:t>
            </w:r>
            <w:r>
              <w:rPr>
                <w:rFonts w:hint="default" w:ascii="Times New Roman" w:hAnsi="Times New Roman" w:eastAsia="方正仿宋_GBK" w:cs="Times New Roman"/>
                <w:kern w:val="0"/>
                <w:sz w:val="28"/>
                <w:szCs w:val="28"/>
                <w:lang w:eastAsia="zh-CN"/>
              </w:rPr>
              <w:t>经费（第二批）</w:t>
            </w:r>
          </w:p>
        </w:tc>
      </w:tr>
      <w:tr w14:paraId="4BD3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002" w:type="pct"/>
            <w:gridSpan w:val="3"/>
            <w:tcBorders>
              <w:top w:val="single" w:color="auto" w:sz="4" w:space="0"/>
              <w:left w:val="single" w:color="auto" w:sz="4" w:space="0"/>
              <w:bottom w:val="single" w:color="auto" w:sz="4" w:space="0"/>
              <w:right w:val="single" w:color="auto" w:sz="4" w:space="0"/>
            </w:tcBorders>
            <w:noWrap w:val="0"/>
            <w:vAlign w:val="top"/>
          </w:tcPr>
          <w:p w14:paraId="6BE31AF3">
            <w:pPr>
              <w:jc w:val="center"/>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spacing w:val="0"/>
                <w:kern w:val="0"/>
                <w:sz w:val="28"/>
                <w:szCs w:val="28"/>
                <w:lang w:eastAsia="zh-CN"/>
              </w:rPr>
              <w:t>项目实施</w:t>
            </w:r>
            <w:r>
              <w:rPr>
                <w:rFonts w:hint="default" w:ascii="Times New Roman" w:hAnsi="Times New Roman" w:eastAsia="方正仿宋_GBK" w:cs="Times New Roman"/>
                <w:spacing w:val="0"/>
                <w:kern w:val="0"/>
                <w:sz w:val="28"/>
                <w:szCs w:val="28"/>
              </w:rPr>
              <w:t>部门</w:t>
            </w:r>
          </w:p>
        </w:tc>
        <w:tc>
          <w:tcPr>
            <w:tcW w:w="2997" w:type="pct"/>
            <w:gridSpan w:val="2"/>
            <w:tcBorders>
              <w:top w:val="single" w:color="auto" w:sz="4" w:space="0"/>
              <w:left w:val="single" w:color="auto" w:sz="4" w:space="0"/>
              <w:bottom w:val="single" w:color="auto" w:sz="4" w:space="0"/>
              <w:right w:val="single" w:color="auto" w:sz="4" w:space="0"/>
            </w:tcBorders>
            <w:noWrap w:val="0"/>
            <w:vAlign w:val="center"/>
          </w:tcPr>
          <w:p w14:paraId="0E3D2950">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8"/>
                <w:szCs w:val="28"/>
              </w:rPr>
              <w:t>德宏州</w:t>
            </w:r>
            <w:r>
              <w:rPr>
                <w:rFonts w:hint="default" w:ascii="Times New Roman" w:hAnsi="Times New Roman" w:eastAsia="方正仿宋_GBK" w:cs="Times New Roman"/>
                <w:kern w:val="0"/>
                <w:sz w:val="28"/>
                <w:szCs w:val="28"/>
                <w:lang w:eastAsia="zh-CN"/>
              </w:rPr>
              <w:t>退役军人事务局</w:t>
            </w:r>
          </w:p>
        </w:tc>
      </w:tr>
      <w:tr w14:paraId="184E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02" w:type="pct"/>
            <w:gridSpan w:val="3"/>
            <w:tcBorders>
              <w:top w:val="nil"/>
              <w:left w:val="single" w:color="auto" w:sz="4" w:space="0"/>
              <w:bottom w:val="single" w:color="auto" w:sz="4" w:space="0"/>
              <w:right w:val="single" w:color="auto" w:sz="4" w:space="0"/>
            </w:tcBorders>
            <w:noWrap w:val="0"/>
            <w:vAlign w:val="top"/>
          </w:tcPr>
          <w:p w14:paraId="7D9C824B">
            <w:pPr>
              <w:jc w:val="center"/>
              <w:rPr>
                <w:rFonts w:hint="eastAsia"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8"/>
                <w:szCs w:val="28"/>
                <w:lang w:eastAsia="zh-CN"/>
              </w:rPr>
              <w:t>项目</w:t>
            </w:r>
            <w:r>
              <w:rPr>
                <w:rFonts w:hint="default" w:ascii="Times New Roman" w:hAnsi="Times New Roman" w:eastAsia="方正仿宋_GBK" w:cs="Times New Roman"/>
                <w:kern w:val="0"/>
                <w:sz w:val="28"/>
                <w:szCs w:val="28"/>
              </w:rPr>
              <w:t>资金</w:t>
            </w:r>
            <w:r>
              <w:rPr>
                <w:rFonts w:hint="eastAsia" w:ascii="Times New Roman" w:hAnsi="Times New Roman" w:eastAsia="方正仿宋_GBK" w:cs="Times New Roman"/>
                <w:kern w:val="0"/>
                <w:sz w:val="28"/>
                <w:szCs w:val="28"/>
                <w:lang w:eastAsia="zh-CN"/>
              </w:rPr>
              <w:t>（万元）</w:t>
            </w:r>
          </w:p>
        </w:tc>
        <w:tc>
          <w:tcPr>
            <w:tcW w:w="2997" w:type="pct"/>
            <w:gridSpan w:val="2"/>
            <w:tcBorders>
              <w:top w:val="single" w:color="auto" w:sz="4" w:space="0"/>
              <w:left w:val="single" w:color="auto" w:sz="4" w:space="0"/>
              <w:bottom w:val="single" w:color="auto" w:sz="4" w:space="0"/>
              <w:right w:val="single" w:color="auto" w:sz="4" w:space="0"/>
            </w:tcBorders>
            <w:noWrap w:val="0"/>
            <w:vAlign w:val="center"/>
          </w:tcPr>
          <w:p w14:paraId="4CB03356">
            <w:pPr>
              <w:jc w:val="center"/>
              <w:rPr>
                <w:rFonts w:hint="default" w:ascii="Times New Roman" w:hAnsi="Times New Roman" w:eastAsia="方正仿宋_GBK" w:cs="Times New Roman"/>
                <w:kern w:val="0"/>
                <w:sz w:val="32"/>
                <w:szCs w:val="32"/>
                <w:lang w:val="en-US" w:eastAsia="zh-CN"/>
              </w:rPr>
            </w:pPr>
          </w:p>
        </w:tc>
      </w:tr>
      <w:tr w14:paraId="7343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63" w:type="pct"/>
            <w:tcBorders>
              <w:top w:val="single" w:color="auto" w:sz="4" w:space="0"/>
              <w:left w:val="single" w:color="auto" w:sz="4" w:space="0"/>
              <w:bottom w:val="single" w:color="auto" w:sz="4" w:space="0"/>
              <w:right w:val="single" w:color="auto" w:sz="4" w:space="0"/>
            </w:tcBorders>
            <w:noWrap w:val="0"/>
            <w:vAlign w:val="top"/>
          </w:tcPr>
          <w:p w14:paraId="1F96B60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年度总体目标</w:t>
            </w:r>
          </w:p>
        </w:tc>
        <w:tc>
          <w:tcPr>
            <w:tcW w:w="4536" w:type="pct"/>
            <w:gridSpan w:val="4"/>
            <w:tcBorders>
              <w:top w:val="single" w:color="auto" w:sz="4" w:space="0"/>
              <w:left w:val="nil"/>
              <w:bottom w:val="single" w:color="auto" w:sz="4" w:space="0"/>
              <w:right w:val="single" w:color="auto" w:sz="4" w:space="0"/>
            </w:tcBorders>
            <w:noWrap w:val="0"/>
            <w:vAlign w:val="top"/>
          </w:tcPr>
          <w:p w14:paraId="082B687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向全州符合享受</w:t>
            </w:r>
            <w:r>
              <w:rPr>
                <w:rFonts w:hint="eastAsia" w:ascii="Times New Roman" w:hAnsi="Times New Roman" w:eastAsia="方正仿宋_GBK" w:cs="Times New Roman"/>
                <w:kern w:val="0"/>
                <w:sz w:val="24"/>
                <w:szCs w:val="24"/>
                <w:lang w:eastAsia="zh-CN"/>
              </w:rPr>
              <w:t>补助经费</w:t>
            </w:r>
            <w:r>
              <w:rPr>
                <w:rFonts w:hint="default" w:ascii="Times New Roman" w:hAnsi="Times New Roman" w:eastAsia="方正仿宋_GBK" w:cs="Times New Roman"/>
                <w:kern w:val="0"/>
                <w:sz w:val="24"/>
                <w:szCs w:val="24"/>
              </w:rPr>
              <w:t>条件的重点优抚对象发放补助</w:t>
            </w:r>
            <w:r>
              <w:rPr>
                <w:rFonts w:hint="default" w:ascii="Times New Roman" w:hAnsi="Times New Roman" w:eastAsia="方正仿宋_GBK" w:cs="Times New Roman"/>
                <w:kern w:val="0"/>
                <w:sz w:val="24"/>
                <w:szCs w:val="24"/>
                <w:lang w:eastAsia="zh-CN"/>
              </w:rPr>
              <w:t>，通过发放优抚对象补助经费，使优抚对象等人员的基本生活得到有效保障。</w:t>
            </w:r>
          </w:p>
        </w:tc>
      </w:tr>
      <w:tr w14:paraId="6464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pct"/>
            <w:vMerge w:val="restart"/>
            <w:tcBorders>
              <w:top w:val="nil"/>
              <w:left w:val="single" w:color="auto" w:sz="4" w:space="0"/>
              <w:bottom w:val="single" w:color="auto" w:sz="4" w:space="0"/>
              <w:right w:val="single" w:color="auto" w:sz="4" w:space="0"/>
            </w:tcBorders>
            <w:noWrap w:val="0"/>
            <w:vAlign w:val="top"/>
          </w:tcPr>
          <w:p w14:paraId="72E22C10">
            <w:pPr>
              <w:jc w:val="center"/>
              <w:rPr>
                <w:rFonts w:hint="default" w:ascii="Times New Roman" w:hAnsi="Times New Roman" w:eastAsia="方正仿宋_GBK" w:cs="Times New Roman"/>
                <w:kern w:val="2"/>
                <w:sz w:val="21"/>
              </w:rPr>
            </w:pPr>
          </w:p>
          <w:p w14:paraId="7A3B04AE">
            <w:pPr>
              <w:jc w:val="center"/>
              <w:rPr>
                <w:rFonts w:hint="default" w:ascii="Times New Roman" w:hAnsi="Times New Roman" w:eastAsia="方正仿宋_GBK" w:cs="Times New Roman"/>
                <w:kern w:val="0"/>
                <w:sz w:val="20"/>
              </w:rPr>
            </w:pPr>
          </w:p>
          <w:p w14:paraId="45A59FA2">
            <w:pPr>
              <w:jc w:val="center"/>
              <w:rPr>
                <w:rFonts w:hint="default" w:ascii="Times New Roman" w:hAnsi="Times New Roman" w:eastAsia="方正仿宋_GBK" w:cs="Times New Roman"/>
                <w:kern w:val="0"/>
                <w:sz w:val="28"/>
                <w:szCs w:val="28"/>
              </w:rPr>
            </w:pPr>
          </w:p>
          <w:p w14:paraId="565FB3D1">
            <w:pPr>
              <w:jc w:val="center"/>
              <w:rPr>
                <w:rFonts w:hint="default" w:ascii="Times New Roman" w:hAnsi="Times New Roman" w:eastAsia="方正仿宋_GBK" w:cs="Times New Roman"/>
                <w:kern w:val="0"/>
                <w:sz w:val="28"/>
                <w:szCs w:val="28"/>
              </w:rPr>
            </w:pPr>
          </w:p>
          <w:p w14:paraId="30DBA323">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绩</w:t>
            </w:r>
          </w:p>
          <w:p w14:paraId="778259BD">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效</w:t>
            </w:r>
          </w:p>
          <w:p w14:paraId="42ABEED7">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目</w:t>
            </w:r>
          </w:p>
          <w:p w14:paraId="2CD4FD84">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8"/>
                <w:szCs w:val="28"/>
              </w:rPr>
              <w:t>标</w:t>
            </w:r>
          </w:p>
        </w:tc>
        <w:tc>
          <w:tcPr>
            <w:tcW w:w="694" w:type="pct"/>
            <w:tcBorders>
              <w:top w:val="single" w:color="auto" w:sz="4" w:space="0"/>
              <w:left w:val="nil"/>
              <w:bottom w:val="single" w:color="auto" w:sz="4" w:space="0"/>
              <w:right w:val="single" w:color="auto" w:sz="4" w:space="0"/>
            </w:tcBorders>
            <w:noWrap w:val="0"/>
            <w:vAlign w:val="center"/>
          </w:tcPr>
          <w:p w14:paraId="0C416F38">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一级指标</w:t>
            </w:r>
          </w:p>
        </w:tc>
        <w:tc>
          <w:tcPr>
            <w:tcW w:w="845" w:type="pct"/>
            <w:tcBorders>
              <w:top w:val="single" w:color="auto" w:sz="4" w:space="0"/>
              <w:left w:val="nil"/>
              <w:bottom w:val="single" w:color="auto" w:sz="4" w:space="0"/>
              <w:right w:val="single" w:color="auto" w:sz="4" w:space="0"/>
            </w:tcBorders>
            <w:noWrap w:val="0"/>
            <w:vAlign w:val="center"/>
          </w:tcPr>
          <w:p w14:paraId="10AAF3C8">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二级指标</w:t>
            </w:r>
          </w:p>
        </w:tc>
        <w:tc>
          <w:tcPr>
            <w:tcW w:w="1848" w:type="pct"/>
            <w:tcBorders>
              <w:top w:val="single" w:color="auto" w:sz="4" w:space="0"/>
              <w:left w:val="nil"/>
              <w:bottom w:val="single" w:color="auto" w:sz="4" w:space="0"/>
              <w:right w:val="single" w:color="auto" w:sz="4" w:space="0"/>
            </w:tcBorders>
            <w:noWrap w:val="0"/>
            <w:vAlign w:val="center"/>
          </w:tcPr>
          <w:p w14:paraId="7FEE46F3">
            <w:pPr>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0"/>
                <w:sz w:val="24"/>
                <w:szCs w:val="24"/>
                <w:lang w:eastAsia="zh-CN"/>
              </w:rPr>
              <w:t>三</w:t>
            </w:r>
            <w:r>
              <w:rPr>
                <w:rFonts w:hint="default" w:ascii="Times New Roman" w:hAnsi="Times New Roman" w:eastAsia="方正仿宋_GBK" w:cs="Times New Roman"/>
                <w:kern w:val="0"/>
                <w:sz w:val="24"/>
                <w:szCs w:val="24"/>
              </w:rPr>
              <w:t>级指标</w:t>
            </w:r>
          </w:p>
        </w:tc>
        <w:tc>
          <w:tcPr>
            <w:tcW w:w="1148" w:type="pct"/>
            <w:tcBorders>
              <w:top w:val="single" w:color="auto" w:sz="4" w:space="0"/>
              <w:left w:val="nil"/>
              <w:bottom w:val="single" w:color="auto" w:sz="4" w:space="0"/>
              <w:right w:val="single" w:color="auto" w:sz="4" w:space="0"/>
            </w:tcBorders>
            <w:noWrap w:val="0"/>
            <w:vAlign w:val="center"/>
          </w:tcPr>
          <w:p w14:paraId="07FB3D94">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指标值</w:t>
            </w:r>
          </w:p>
        </w:tc>
      </w:tr>
      <w:tr w14:paraId="5EC9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713343D5">
            <w:pPr>
              <w:widowControl/>
              <w:jc w:val="left"/>
              <w:rPr>
                <w:rFonts w:hint="default" w:ascii="Times New Roman" w:hAnsi="Times New Roman" w:eastAsia="方正仿宋_GBK" w:cs="Times New Roman"/>
                <w:kern w:val="2"/>
                <w:sz w:val="21"/>
              </w:rPr>
            </w:pPr>
          </w:p>
        </w:tc>
        <w:tc>
          <w:tcPr>
            <w:tcW w:w="694" w:type="pct"/>
            <w:vMerge w:val="restart"/>
            <w:tcBorders>
              <w:top w:val="nil"/>
              <w:left w:val="nil"/>
              <w:bottom w:val="single" w:color="auto" w:sz="4" w:space="0"/>
              <w:right w:val="single" w:color="auto" w:sz="4" w:space="0"/>
            </w:tcBorders>
            <w:noWrap w:val="0"/>
            <w:vAlign w:val="center"/>
          </w:tcPr>
          <w:p w14:paraId="333BE329">
            <w:pPr>
              <w:jc w:val="center"/>
              <w:rPr>
                <w:rFonts w:hint="default" w:ascii="Times New Roman" w:hAnsi="Times New Roman" w:eastAsia="方正仿宋_GBK" w:cs="Times New Roman"/>
                <w:kern w:val="2"/>
                <w:sz w:val="24"/>
                <w:szCs w:val="24"/>
              </w:rPr>
            </w:pPr>
          </w:p>
          <w:p w14:paraId="0988EABA">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产出指标</w:t>
            </w:r>
          </w:p>
        </w:tc>
        <w:tc>
          <w:tcPr>
            <w:tcW w:w="845" w:type="pct"/>
            <w:tcBorders>
              <w:top w:val="nil"/>
              <w:left w:val="nil"/>
              <w:bottom w:val="single" w:color="auto" w:sz="4" w:space="0"/>
              <w:right w:val="single" w:color="auto" w:sz="4" w:space="0"/>
            </w:tcBorders>
            <w:noWrap w:val="0"/>
            <w:vAlign w:val="center"/>
          </w:tcPr>
          <w:p w14:paraId="0746E5EA">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数量指标</w:t>
            </w:r>
          </w:p>
        </w:tc>
        <w:tc>
          <w:tcPr>
            <w:tcW w:w="1848" w:type="pct"/>
            <w:tcBorders>
              <w:top w:val="single" w:color="auto" w:sz="4" w:space="0"/>
              <w:left w:val="nil"/>
              <w:right w:val="single" w:color="auto" w:sz="4" w:space="0"/>
            </w:tcBorders>
            <w:noWrap w:val="0"/>
            <w:vAlign w:val="center"/>
          </w:tcPr>
          <w:p w14:paraId="27D65537">
            <w:pPr>
              <w:jc w:val="left"/>
              <w:rPr>
                <w:rFonts w:hint="eastAsia" w:ascii="Times New Roman" w:hAnsi="Times New Roman" w:eastAsia="方正仿宋_GBK" w:cs="Times New Roman"/>
                <w:spacing w:val="-20"/>
                <w:kern w:val="2"/>
                <w:sz w:val="24"/>
                <w:szCs w:val="24"/>
                <w:lang w:eastAsia="zh-CN"/>
              </w:rPr>
            </w:pPr>
            <w:r>
              <w:rPr>
                <w:rFonts w:hint="eastAsia" w:ascii="Times New Roman" w:hAnsi="Times New Roman" w:eastAsia="方正仿宋_GBK" w:cs="Times New Roman"/>
                <w:spacing w:val="-20"/>
                <w:kern w:val="2"/>
                <w:sz w:val="24"/>
                <w:szCs w:val="24"/>
                <w:lang w:eastAsia="zh-CN"/>
              </w:rPr>
              <w:t>优抚对象补助经费发放人数</w:t>
            </w:r>
          </w:p>
        </w:tc>
        <w:tc>
          <w:tcPr>
            <w:tcW w:w="1148" w:type="pct"/>
            <w:tcBorders>
              <w:top w:val="single" w:color="auto" w:sz="4" w:space="0"/>
              <w:left w:val="nil"/>
              <w:bottom w:val="single" w:color="auto" w:sz="4" w:space="0"/>
              <w:right w:val="single" w:color="auto" w:sz="4" w:space="0"/>
            </w:tcBorders>
            <w:noWrap w:val="0"/>
            <w:vAlign w:val="center"/>
          </w:tcPr>
          <w:p w14:paraId="51DA6E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残疾军人、</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三属</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、在乡老复员军人、带病回乡退伍军人、参战</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60岁</w:t>
            </w:r>
            <w:r>
              <w:rPr>
                <w:rFonts w:hint="default" w:ascii="Times New Roman" w:hAnsi="Times New Roman" w:eastAsia="方正仿宋_GBK" w:cs="Times New Roman"/>
                <w:kern w:val="0"/>
                <w:sz w:val="24"/>
                <w:szCs w:val="24"/>
                <w:lang w:eastAsia="zh-CN"/>
              </w:rPr>
              <w:t>农村籍</w:t>
            </w:r>
            <w:r>
              <w:rPr>
                <w:rFonts w:hint="default" w:ascii="Times New Roman" w:hAnsi="Times New Roman" w:eastAsia="方正仿宋_GBK" w:cs="Times New Roman"/>
                <w:kern w:val="0"/>
                <w:sz w:val="24"/>
                <w:szCs w:val="24"/>
              </w:rPr>
              <w:t>退役人员</w:t>
            </w:r>
            <w:r>
              <w:rPr>
                <w:rFonts w:hint="default" w:ascii="Times New Roman" w:hAnsi="Times New Roman" w:eastAsia="方正仿宋_GBK" w:cs="Times New Roman"/>
                <w:kern w:val="0"/>
                <w:sz w:val="24"/>
                <w:szCs w:val="24"/>
                <w:lang w:eastAsia="zh-CN"/>
              </w:rPr>
              <w:t>及老烈士子女</w:t>
            </w:r>
            <w:r>
              <w:rPr>
                <w:rFonts w:hint="default" w:ascii="Times New Roman" w:hAnsi="Times New Roman" w:eastAsia="方正仿宋_GBK" w:cs="Times New Roman"/>
                <w:kern w:val="0"/>
                <w:sz w:val="24"/>
                <w:szCs w:val="24"/>
              </w:rPr>
              <w:t>&gt;</w:t>
            </w:r>
            <w:r>
              <w:rPr>
                <w:rFonts w:hint="default" w:ascii="Times New Roman" w:hAnsi="Times New Roman" w:eastAsia="方正仿宋_GBK" w:cs="Times New Roman"/>
                <w:kern w:val="0"/>
                <w:sz w:val="24"/>
                <w:szCs w:val="24"/>
                <w:lang w:val="en-US" w:eastAsia="zh-CN"/>
              </w:rPr>
              <w:t>0.4万</w:t>
            </w:r>
            <w:r>
              <w:rPr>
                <w:rFonts w:hint="default" w:ascii="Times New Roman" w:hAnsi="Times New Roman" w:eastAsia="方正仿宋_GBK" w:cs="Times New Roman"/>
                <w:kern w:val="0"/>
                <w:sz w:val="24"/>
                <w:szCs w:val="24"/>
              </w:rPr>
              <w:t>人。</w:t>
            </w:r>
          </w:p>
        </w:tc>
      </w:tr>
      <w:tr w14:paraId="4E4E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3E39A915">
            <w:pPr>
              <w:widowControl/>
              <w:jc w:val="left"/>
              <w:rPr>
                <w:rFonts w:hint="default" w:ascii="Times New Roman" w:hAnsi="Times New Roman" w:eastAsia="方正仿宋_GBK" w:cs="Times New Roman"/>
                <w:kern w:val="2"/>
                <w:sz w:val="21"/>
              </w:rPr>
            </w:pPr>
          </w:p>
        </w:tc>
        <w:tc>
          <w:tcPr>
            <w:tcW w:w="694" w:type="pct"/>
            <w:vMerge w:val="continue"/>
            <w:tcBorders>
              <w:top w:val="nil"/>
              <w:left w:val="nil"/>
              <w:bottom w:val="single" w:color="auto" w:sz="4" w:space="0"/>
              <w:right w:val="single" w:color="auto" w:sz="4" w:space="0"/>
            </w:tcBorders>
            <w:noWrap w:val="0"/>
            <w:vAlign w:val="center"/>
          </w:tcPr>
          <w:p w14:paraId="1755257E">
            <w:pPr>
              <w:widowControl/>
              <w:jc w:val="center"/>
              <w:rPr>
                <w:rFonts w:hint="default" w:ascii="Times New Roman" w:hAnsi="Times New Roman" w:eastAsia="方正仿宋_GBK" w:cs="Times New Roman"/>
                <w:kern w:val="2"/>
                <w:sz w:val="24"/>
                <w:szCs w:val="24"/>
              </w:rPr>
            </w:pPr>
          </w:p>
        </w:tc>
        <w:tc>
          <w:tcPr>
            <w:tcW w:w="845" w:type="pct"/>
            <w:vMerge w:val="restart"/>
            <w:tcBorders>
              <w:top w:val="nil"/>
              <w:left w:val="nil"/>
              <w:bottom w:val="single" w:color="auto" w:sz="4" w:space="0"/>
              <w:right w:val="single" w:color="auto" w:sz="4" w:space="0"/>
            </w:tcBorders>
            <w:noWrap w:val="0"/>
            <w:vAlign w:val="center"/>
          </w:tcPr>
          <w:p w14:paraId="35FDE60E">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质量指标</w:t>
            </w:r>
          </w:p>
        </w:tc>
        <w:tc>
          <w:tcPr>
            <w:tcW w:w="1848" w:type="pct"/>
            <w:tcBorders>
              <w:top w:val="single" w:color="auto" w:sz="4" w:space="0"/>
              <w:left w:val="nil"/>
              <w:bottom w:val="single" w:color="auto" w:sz="4" w:space="0"/>
              <w:right w:val="single" w:color="auto" w:sz="4" w:space="0"/>
            </w:tcBorders>
            <w:noWrap w:val="0"/>
            <w:vAlign w:val="center"/>
          </w:tcPr>
          <w:p w14:paraId="03AC1F80">
            <w:pPr>
              <w:jc w:val="left"/>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经费足额拨付率</w:t>
            </w:r>
          </w:p>
        </w:tc>
        <w:tc>
          <w:tcPr>
            <w:tcW w:w="1148" w:type="pct"/>
            <w:tcBorders>
              <w:top w:val="single" w:color="auto" w:sz="4" w:space="0"/>
              <w:left w:val="nil"/>
              <w:bottom w:val="single" w:color="auto" w:sz="4" w:space="0"/>
              <w:right w:val="single" w:color="auto" w:sz="4" w:space="0"/>
            </w:tcBorders>
            <w:noWrap w:val="0"/>
            <w:vAlign w:val="center"/>
          </w:tcPr>
          <w:p w14:paraId="14F83FC2">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100%</w:t>
            </w:r>
          </w:p>
        </w:tc>
      </w:tr>
      <w:tr w14:paraId="76D3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372CA3F0">
            <w:pPr>
              <w:widowControl/>
              <w:jc w:val="left"/>
              <w:rPr>
                <w:rFonts w:hint="default" w:ascii="Times New Roman" w:hAnsi="Times New Roman" w:eastAsia="方正仿宋_GBK" w:cs="Times New Roman"/>
                <w:kern w:val="2"/>
                <w:sz w:val="21"/>
              </w:rPr>
            </w:pPr>
          </w:p>
        </w:tc>
        <w:tc>
          <w:tcPr>
            <w:tcW w:w="694" w:type="pct"/>
            <w:vMerge w:val="continue"/>
            <w:tcBorders>
              <w:top w:val="nil"/>
              <w:left w:val="nil"/>
              <w:bottom w:val="single" w:color="auto" w:sz="4" w:space="0"/>
              <w:right w:val="single" w:color="auto" w:sz="4" w:space="0"/>
            </w:tcBorders>
            <w:noWrap w:val="0"/>
            <w:vAlign w:val="center"/>
          </w:tcPr>
          <w:p w14:paraId="5D5C8CA4">
            <w:pPr>
              <w:widowControl/>
              <w:jc w:val="center"/>
              <w:rPr>
                <w:rFonts w:hint="default" w:ascii="Times New Roman" w:hAnsi="Times New Roman" w:eastAsia="方正仿宋_GBK" w:cs="Times New Roman"/>
                <w:kern w:val="2"/>
                <w:sz w:val="24"/>
                <w:szCs w:val="24"/>
              </w:rPr>
            </w:pPr>
          </w:p>
        </w:tc>
        <w:tc>
          <w:tcPr>
            <w:tcW w:w="845" w:type="pct"/>
            <w:vMerge w:val="continue"/>
            <w:tcBorders>
              <w:top w:val="nil"/>
              <w:left w:val="nil"/>
              <w:bottom w:val="single" w:color="auto" w:sz="4" w:space="0"/>
              <w:right w:val="single" w:color="auto" w:sz="4" w:space="0"/>
            </w:tcBorders>
            <w:noWrap w:val="0"/>
            <w:vAlign w:val="center"/>
          </w:tcPr>
          <w:p w14:paraId="555AE8C4">
            <w:pPr>
              <w:widowControl/>
              <w:jc w:val="center"/>
              <w:rPr>
                <w:rFonts w:hint="default" w:ascii="Times New Roman" w:hAnsi="Times New Roman" w:eastAsia="方正仿宋_GBK" w:cs="Times New Roman"/>
                <w:kern w:val="2"/>
                <w:sz w:val="24"/>
                <w:szCs w:val="24"/>
              </w:rPr>
            </w:pPr>
          </w:p>
        </w:tc>
        <w:tc>
          <w:tcPr>
            <w:tcW w:w="1848" w:type="pct"/>
            <w:tcBorders>
              <w:top w:val="single" w:color="auto" w:sz="4" w:space="0"/>
              <w:left w:val="nil"/>
              <w:bottom w:val="single" w:color="auto" w:sz="4" w:space="0"/>
              <w:right w:val="single" w:color="auto" w:sz="4" w:space="0"/>
            </w:tcBorders>
            <w:noWrap w:val="0"/>
            <w:vAlign w:val="center"/>
          </w:tcPr>
          <w:p w14:paraId="282CC1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各类优抚对象补助标准按规定执行</w:t>
            </w:r>
            <w:r>
              <w:rPr>
                <w:rFonts w:hint="default" w:ascii="Times New Roman" w:hAnsi="Times New Roman" w:eastAsia="方正仿宋_GBK" w:cs="Times New Roman"/>
                <w:kern w:val="0"/>
                <w:sz w:val="24"/>
                <w:szCs w:val="24"/>
                <w:lang w:eastAsia="zh-CN"/>
              </w:rPr>
              <w:t>率</w:t>
            </w:r>
          </w:p>
        </w:tc>
        <w:tc>
          <w:tcPr>
            <w:tcW w:w="1148" w:type="pct"/>
            <w:tcBorders>
              <w:top w:val="single" w:color="auto" w:sz="4" w:space="0"/>
              <w:left w:val="nil"/>
              <w:bottom w:val="single" w:color="auto" w:sz="4" w:space="0"/>
              <w:right w:val="single" w:color="auto" w:sz="4" w:space="0"/>
            </w:tcBorders>
            <w:noWrap w:val="0"/>
            <w:vAlign w:val="center"/>
          </w:tcPr>
          <w:p w14:paraId="401FDF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100%</w:t>
            </w:r>
          </w:p>
        </w:tc>
      </w:tr>
      <w:tr w14:paraId="19A9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6CFCC526">
            <w:pPr>
              <w:widowControl/>
              <w:jc w:val="left"/>
              <w:rPr>
                <w:rFonts w:hint="default" w:ascii="Times New Roman" w:hAnsi="Times New Roman" w:eastAsia="方正仿宋_GBK" w:cs="Times New Roman"/>
                <w:kern w:val="2"/>
                <w:sz w:val="21"/>
              </w:rPr>
            </w:pPr>
          </w:p>
        </w:tc>
        <w:tc>
          <w:tcPr>
            <w:tcW w:w="694" w:type="pct"/>
            <w:vMerge w:val="continue"/>
            <w:tcBorders>
              <w:top w:val="nil"/>
              <w:left w:val="nil"/>
              <w:bottom w:val="single" w:color="auto" w:sz="4" w:space="0"/>
              <w:right w:val="single" w:color="auto" w:sz="4" w:space="0"/>
            </w:tcBorders>
            <w:noWrap w:val="0"/>
            <w:vAlign w:val="center"/>
          </w:tcPr>
          <w:p w14:paraId="017C21F0">
            <w:pPr>
              <w:widowControl/>
              <w:jc w:val="center"/>
              <w:rPr>
                <w:rFonts w:hint="default" w:ascii="Times New Roman" w:hAnsi="Times New Roman" w:eastAsia="方正仿宋_GBK" w:cs="Times New Roman"/>
                <w:kern w:val="2"/>
                <w:sz w:val="24"/>
                <w:szCs w:val="24"/>
              </w:rPr>
            </w:pPr>
          </w:p>
        </w:tc>
        <w:tc>
          <w:tcPr>
            <w:tcW w:w="845" w:type="pct"/>
            <w:tcBorders>
              <w:top w:val="single" w:color="auto" w:sz="4" w:space="0"/>
              <w:left w:val="nil"/>
              <w:bottom w:val="single" w:color="auto" w:sz="4" w:space="0"/>
              <w:right w:val="single" w:color="auto" w:sz="4" w:space="0"/>
            </w:tcBorders>
            <w:noWrap w:val="0"/>
            <w:vAlign w:val="center"/>
          </w:tcPr>
          <w:p w14:paraId="1F12DF43">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时效指标</w:t>
            </w:r>
          </w:p>
        </w:tc>
        <w:tc>
          <w:tcPr>
            <w:tcW w:w="1848" w:type="pct"/>
            <w:tcBorders>
              <w:top w:val="single" w:color="auto" w:sz="4" w:space="0"/>
              <w:left w:val="nil"/>
              <w:bottom w:val="single" w:color="auto" w:sz="4" w:space="0"/>
              <w:right w:val="single" w:color="auto" w:sz="4" w:space="0"/>
            </w:tcBorders>
            <w:noWrap w:val="0"/>
            <w:vAlign w:val="center"/>
          </w:tcPr>
          <w:p w14:paraId="735FFE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优抚对象补助</w:t>
            </w:r>
            <w:r>
              <w:rPr>
                <w:rFonts w:hint="eastAsia" w:ascii="Times New Roman" w:hAnsi="Times New Roman" w:eastAsia="方正仿宋_GBK" w:cs="Times New Roman"/>
                <w:kern w:val="0"/>
                <w:sz w:val="24"/>
                <w:szCs w:val="24"/>
                <w:lang w:eastAsia="zh-CN"/>
              </w:rPr>
              <w:t>经费</w:t>
            </w:r>
            <w:r>
              <w:rPr>
                <w:rFonts w:hint="default" w:ascii="Times New Roman" w:hAnsi="Times New Roman" w:eastAsia="方正仿宋_GBK" w:cs="Times New Roman"/>
                <w:kern w:val="0"/>
                <w:sz w:val="24"/>
                <w:szCs w:val="24"/>
                <w:lang w:eastAsia="zh-CN"/>
              </w:rPr>
              <w:t>及时拨付率</w:t>
            </w:r>
          </w:p>
        </w:tc>
        <w:tc>
          <w:tcPr>
            <w:tcW w:w="1148" w:type="pct"/>
            <w:tcBorders>
              <w:top w:val="single" w:color="auto" w:sz="4" w:space="0"/>
              <w:left w:val="nil"/>
              <w:bottom w:val="single" w:color="auto" w:sz="4" w:space="0"/>
              <w:right w:val="single" w:color="auto" w:sz="4" w:space="0"/>
            </w:tcBorders>
            <w:noWrap w:val="0"/>
            <w:vAlign w:val="center"/>
          </w:tcPr>
          <w:p w14:paraId="796604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4"/>
                <w:szCs w:val="24"/>
                <w:lang w:val="en-US" w:eastAsia="zh-CN"/>
              </w:rPr>
              <w:t>100%</w:t>
            </w:r>
          </w:p>
        </w:tc>
      </w:tr>
      <w:tr w14:paraId="06EF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444BEED0">
            <w:pPr>
              <w:widowControl/>
              <w:jc w:val="left"/>
              <w:rPr>
                <w:rFonts w:hint="default" w:ascii="Times New Roman" w:hAnsi="Times New Roman" w:eastAsia="方正仿宋_GBK" w:cs="Times New Roman"/>
                <w:kern w:val="2"/>
                <w:sz w:val="21"/>
              </w:rPr>
            </w:pPr>
          </w:p>
        </w:tc>
        <w:tc>
          <w:tcPr>
            <w:tcW w:w="694" w:type="pct"/>
            <w:tcBorders>
              <w:top w:val="nil"/>
              <w:left w:val="nil"/>
              <w:bottom w:val="single" w:color="auto" w:sz="4" w:space="0"/>
              <w:right w:val="single" w:color="auto" w:sz="4" w:space="0"/>
            </w:tcBorders>
            <w:noWrap w:val="0"/>
            <w:vAlign w:val="center"/>
          </w:tcPr>
          <w:p w14:paraId="2F0E01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效益指标</w:t>
            </w:r>
          </w:p>
        </w:tc>
        <w:tc>
          <w:tcPr>
            <w:tcW w:w="845" w:type="pct"/>
            <w:tcBorders>
              <w:top w:val="nil"/>
              <w:left w:val="nil"/>
              <w:bottom w:val="single" w:color="auto" w:sz="4" w:space="0"/>
              <w:right w:val="single" w:color="auto" w:sz="4" w:space="0"/>
            </w:tcBorders>
            <w:noWrap w:val="0"/>
            <w:vAlign w:val="center"/>
          </w:tcPr>
          <w:p w14:paraId="47C0E0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社会效益指</w:t>
            </w:r>
            <w:r>
              <w:rPr>
                <w:rFonts w:hint="eastAsia" w:ascii="Times New Roman" w:hAnsi="Times New Roman" w:eastAsia="方正仿宋_GBK" w:cs="Times New Roman"/>
                <w:kern w:val="0"/>
                <w:sz w:val="24"/>
                <w:szCs w:val="24"/>
                <w:lang w:eastAsia="zh-CN"/>
              </w:rPr>
              <w:t>标</w:t>
            </w:r>
          </w:p>
        </w:tc>
        <w:tc>
          <w:tcPr>
            <w:tcW w:w="1848" w:type="pct"/>
            <w:tcBorders>
              <w:top w:val="single" w:color="auto" w:sz="4" w:space="0"/>
              <w:left w:val="nil"/>
              <w:right w:val="single" w:color="auto" w:sz="4" w:space="0"/>
            </w:tcBorders>
            <w:noWrap w:val="0"/>
            <w:vAlign w:val="center"/>
          </w:tcPr>
          <w:p w14:paraId="4B1FFE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4"/>
                <w:szCs w:val="24"/>
              </w:rPr>
              <w:t>优抚对象生活情况</w:t>
            </w:r>
            <w:r>
              <w:rPr>
                <w:rFonts w:hint="eastAsia" w:ascii="Times New Roman" w:hAnsi="Times New Roman" w:eastAsia="方正仿宋_GBK" w:cs="Times New Roman"/>
                <w:kern w:val="0"/>
                <w:sz w:val="24"/>
                <w:szCs w:val="24"/>
                <w:lang w:val="en-US" w:eastAsia="zh-CN"/>
              </w:rPr>
              <w:t xml:space="preserve">      </w:t>
            </w:r>
          </w:p>
        </w:tc>
        <w:tc>
          <w:tcPr>
            <w:tcW w:w="1148" w:type="pct"/>
            <w:tcBorders>
              <w:top w:val="single" w:color="auto" w:sz="4" w:space="0"/>
              <w:left w:val="nil"/>
              <w:bottom w:val="single" w:color="auto" w:sz="4" w:space="0"/>
              <w:right w:val="single" w:color="auto" w:sz="4" w:space="0"/>
            </w:tcBorders>
            <w:noWrap w:val="0"/>
            <w:vAlign w:val="center"/>
          </w:tcPr>
          <w:p w14:paraId="2AAF84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有效改善</w:t>
            </w:r>
          </w:p>
        </w:tc>
      </w:tr>
      <w:tr w14:paraId="3A05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592B13B8">
            <w:pPr>
              <w:widowControl/>
              <w:jc w:val="left"/>
              <w:rPr>
                <w:rFonts w:hint="default" w:ascii="Times New Roman" w:hAnsi="Times New Roman" w:eastAsia="方正仿宋_GBK" w:cs="Times New Roman"/>
                <w:kern w:val="2"/>
                <w:sz w:val="21"/>
              </w:rPr>
            </w:pPr>
          </w:p>
        </w:tc>
        <w:tc>
          <w:tcPr>
            <w:tcW w:w="694" w:type="pct"/>
            <w:tcBorders>
              <w:top w:val="single" w:color="auto" w:sz="4" w:space="0"/>
              <w:left w:val="nil"/>
              <w:bottom w:val="single" w:color="auto" w:sz="4" w:space="0"/>
              <w:right w:val="single" w:color="auto" w:sz="4" w:space="0"/>
            </w:tcBorders>
            <w:noWrap w:val="0"/>
            <w:vAlign w:val="center"/>
          </w:tcPr>
          <w:p w14:paraId="0E1AF4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满意度指标</w:t>
            </w:r>
          </w:p>
        </w:tc>
        <w:tc>
          <w:tcPr>
            <w:tcW w:w="845" w:type="pct"/>
            <w:tcBorders>
              <w:top w:val="single" w:color="auto" w:sz="4" w:space="0"/>
              <w:left w:val="nil"/>
              <w:bottom w:val="single" w:color="auto" w:sz="4" w:space="0"/>
              <w:right w:val="single" w:color="auto" w:sz="4" w:space="0"/>
            </w:tcBorders>
            <w:noWrap w:val="0"/>
            <w:vAlign w:val="center"/>
          </w:tcPr>
          <w:p w14:paraId="6C60D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服务对象</w:t>
            </w:r>
          </w:p>
          <w:p w14:paraId="24D88B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满意度指标</w:t>
            </w:r>
          </w:p>
        </w:tc>
        <w:tc>
          <w:tcPr>
            <w:tcW w:w="1848" w:type="pct"/>
            <w:tcBorders>
              <w:top w:val="single" w:color="auto" w:sz="4" w:space="0"/>
              <w:left w:val="nil"/>
              <w:bottom w:val="single" w:color="auto" w:sz="4" w:space="0"/>
              <w:right w:val="single" w:color="auto" w:sz="4" w:space="0"/>
            </w:tcBorders>
            <w:noWrap w:val="0"/>
            <w:vAlign w:val="center"/>
          </w:tcPr>
          <w:p w14:paraId="13B0993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优抚对象满意</w:t>
            </w:r>
            <w:r>
              <w:rPr>
                <w:rFonts w:hint="eastAsia" w:ascii="Times New Roman" w:hAnsi="Times New Roman" w:eastAsia="方正仿宋_GBK" w:cs="Times New Roman"/>
                <w:kern w:val="0"/>
                <w:sz w:val="24"/>
                <w:szCs w:val="24"/>
                <w:lang w:eastAsia="zh-CN"/>
              </w:rPr>
              <w:t>率</w:t>
            </w:r>
            <w:r>
              <w:rPr>
                <w:rFonts w:hint="default" w:ascii="Times New Roman" w:hAnsi="Times New Roman" w:eastAsia="方正仿宋_GBK" w:cs="Times New Roman"/>
                <w:kern w:val="0"/>
                <w:sz w:val="24"/>
                <w:szCs w:val="24"/>
              </w:rPr>
              <w:t>度</w:t>
            </w:r>
          </w:p>
        </w:tc>
        <w:tc>
          <w:tcPr>
            <w:tcW w:w="1148" w:type="pct"/>
            <w:tcBorders>
              <w:top w:val="single" w:color="auto" w:sz="4" w:space="0"/>
              <w:left w:val="nil"/>
              <w:bottom w:val="single" w:color="auto" w:sz="4" w:space="0"/>
              <w:right w:val="single" w:color="auto" w:sz="4" w:space="0"/>
            </w:tcBorders>
            <w:noWrap w:val="0"/>
            <w:vAlign w:val="center"/>
          </w:tcPr>
          <w:p w14:paraId="16EC51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eastAsia" w:ascii="东文宋体" w:hAnsi="东文宋体" w:eastAsia="东文宋体" w:cs="东文宋体"/>
                <w:kern w:val="0"/>
                <w:sz w:val="24"/>
                <w:szCs w:val="24"/>
                <w:lang w:val="en-US" w:eastAsia="zh-CN"/>
              </w:rPr>
              <w:t>≥</w:t>
            </w:r>
            <w:r>
              <w:rPr>
                <w:rFonts w:hint="default" w:ascii="Times New Roman" w:hAnsi="Times New Roman" w:eastAsia="方正仿宋_GBK" w:cs="Times New Roman"/>
                <w:kern w:val="0"/>
                <w:sz w:val="24"/>
                <w:szCs w:val="24"/>
                <w:lang w:val="en-US" w:eastAsia="zh-CN"/>
              </w:rPr>
              <w:t>90</w:t>
            </w:r>
            <w:r>
              <w:rPr>
                <w:rFonts w:hint="default" w:ascii="Times New Roman" w:hAnsi="Times New Roman" w:eastAsia="方正仿宋_GBK" w:cs="Times New Roman"/>
                <w:kern w:val="0"/>
                <w:sz w:val="24"/>
                <w:szCs w:val="24"/>
              </w:rPr>
              <w:t>%</w:t>
            </w:r>
          </w:p>
        </w:tc>
      </w:tr>
    </w:tbl>
    <w:p w14:paraId="7CF29907">
      <w:pPr>
        <w:jc w:val="center"/>
        <w:rPr>
          <w:rFonts w:eastAsia="方正仿宋_GBK"/>
          <w:sz w:val="32"/>
          <w:szCs w:val="32"/>
        </w:rPr>
      </w:pPr>
      <w:r>
        <w:rPr>
          <w:rFonts w:hint="default" w:ascii="Times New Roman" w:hAnsi="Times New Roman" w:eastAsia="方正楷体_GBK" w:cs="Times New Roman"/>
          <w:sz w:val="32"/>
          <w:szCs w:val="32"/>
        </w:rPr>
        <w:t>（20</w:t>
      </w:r>
      <w:r>
        <w:rPr>
          <w:rFonts w:hint="default" w:ascii="Times New Roman" w:hAnsi="Times New Roman" w:eastAsia="方正楷体_GBK" w:cs="Times New Roman"/>
          <w:sz w:val="32"/>
          <w:szCs w:val="32"/>
          <w:lang w:val="en-US" w:eastAsia="zh-CN"/>
        </w:rPr>
        <w:t>23</w:t>
      </w:r>
      <w:r>
        <w:rPr>
          <w:rFonts w:hint="default" w:ascii="Times New Roman" w:hAnsi="Times New Roman" w:eastAsia="方正楷体_GBK" w:cs="Times New Roman"/>
          <w:sz w:val="32"/>
          <w:szCs w:val="32"/>
        </w:rPr>
        <w:t>年度）</w:t>
      </w:r>
    </w:p>
    <w:p w14:paraId="65A6BA6C">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5" w:type="first"/>
      <w:footerReference r:id="rId3" w:type="default"/>
      <w:footerReference r:id="rId4" w:type="even"/>
      <w:pgSz w:w="11906" w:h="16838"/>
      <w:pgMar w:top="2098" w:right="1474" w:bottom="1984" w:left="1587" w:header="851" w:footer="113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6674">
    <w:pPr>
      <w:pStyle w:val="3"/>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3F150D">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F3F150D">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69EB">
    <w:pPr>
      <w:pStyle w:val="3"/>
      <w:framePr w:wrap="around" w:vAnchor="text" w:hAnchor="margin" w:xAlign="outside" w:y="1"/>
      <w:rPr>
        <w:rStyle w:val="7"/>
      </w:rPr>
    </w:pPr>
    <w:r>
      <w:fldChar w:fldCharType="begin"/>
    </w:r>
    <w:r>
      <w:rPr>
        <w:rStyle w:val="7"/>
      </w:rPr>
      <w:instrText xml:space="preserve">PAGE  </w:instrText>
    </w:r>
    <w:r>
      <w:fldChar w:fldCharType="end"/>
    </w:r>
  </w:p>
  <w:p w14:paraId="6C5F866D">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92C7">
    <w:pPr>
      <w:pStyle w:val="3"/>
      <w:ind w:firstLine="8260" w:firstLineChars="2950"/>
      <w:rPr>
        <w:rStyle w:val="7"/>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2785E0">
                          <w:pPr>
                            <w:pStyle w:val="3"/>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2785E0">
                    <w:pPr>
                      <w:pStyle w:val="3"/>
                    </w:pPr>
                    <w:r>
                      <w:fldChar w:fldCharType="begin"/>
                    </w:r>
                    <w:r>
                      <w:instrText xml:space="preserve"> PAGE  \* MERGEFORMAT </w:instrText>
                    </w:r>
                    <w:r>
                      <w:fldChar w:fldCharType="separate"/>
                    </w:r>
                    <w:r>
                      <w:t>5</w:t>
                    </w:r>
                    <w:r>
                      <w:fldChar w:fldCharType="end"/>
                    </w:r>
                  </w:p>
                </w:txbxContent>
              </v:textbox>
            </v:shape>
          </w:pict>
        </mc:Fallback>
      </mc:AlternateContent>
    </w:r>
    <w:r>
      <w:rPr>
        <w:rStyle w:val="7"/>
        <w:rFonts w:hint="eastAsia" w:ascii="宋体" w:hAnsi="宋体"/>
        <w:sz w:val="28"/>
        <w:szCs w:val="28"/>
      </w:rPr>
      <w:t xml:space="preserve"> </w:t>
    </w:r>
  </w:p>
  <w:p w14:paraId="75F94BE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GVlMjMwZWY3MTU3M2NiNDc5MTA0YTMyMmI4YTQifQ=="/>
    <w:docVar w:name="DocumentID" w:val="{F4F22BE4-CFD2-4E08-8375-471C9F4DC8C7}"/>
    <w:docVar w:name="DocumentName" w:val="梁财社〔2023〕4号关于提前下达2023年中央优抚对象补助经费预算（第二批）的通知（01 中央直达资金）"/>
  </w:docVars>
  <w:rsids>
    <w:rsidRoot w:val="00000000"/>
    <w:rsid w:val="00830B3A"/>
    <w:rsid w:val="03470120"/>
    <w:rsid w:val="038D368F"/>
    <w:rsid w:val="06007873"/>
    <w:rsid w:val="0786416F"/>
    <w:rsid w:val="09745825"/>
    <w:rsid w:val="09E911F1"/>
    <w:rsid w:val="0AE5706E"/>
    <w:rsid w:val="0B0A6A71"/>
    <w:rsid w:val="0B3F144C"/>
    <w:rsid w:val="0C83624D"/>
    <w:rsid w:val="0D3F0EEB"/>
    <w:rsid w:val="0DBC559A"/>
    <w:rsid w:val="0E2142A1"/>
    <w:rsid w:val="0E834B5A"/>
    <w:rsid w:val="0EE61AFB"/>
    <w:rsid w:val="0FCB1CE9"/>
    <w:rsid w:val="102F7315"/>
    <w:rsid w:val="1091445F"/>
    <w:rsid w:val="11FC7480"/>
    <w:rsid w:val="12B67DF9"/>
    <w:rsid w:val="133144D7"/>
    <w:rsid w:val="13A6267C"/>
    <w:rsid w:val="14272167"/>
    <w:rsid w:val="148005FB"/>
    <w:rsid w:val="157818E8"/>
    <w:rsid w:val="161B1B31"/>
    <w:rsid w:val="18763BA5"/>
    <w:rsid w:val="19B16135"/>
    <w:rsid w:val="19CF3670"/>
    <w:rsid w:val="1A1E05BA"/>
    <w:rsid w:val="1A7D6D85"/>
    <w:rsid w:val="1B912B53"/>
    <w:rsid w:val="1B9D1623"/>
    <w:rsid w:val="1C172982"/>
    <w:rsid w:val="1D815751"/>
    <w:rsid w:val="1DD646B6"/>
    <w:rsid w:val="1DEA7DC2"/>
    <w:rsid w:val="1E410309"/>
    <w:rsid w:val="1EA0242D"/>
    <w:rsid w:val="1EF15C06"/>
    <w:rsid w:val="1FC666FD"/>
    <w:rsid w:val="2108113C"/>
    <w:rsid w:val="227A5B2F"/>
    <w:rsid w:val="23494274"/>
    <w:rsid w:val="240B4A1B"/>
    <w:rsid w:val="242117CE"/>
    <w:rsid w:val="249B10F2"/>
    <w:rsid w:val="25766390"/>
    <w:rsid w:val="25826657"/>
    <w:rsid w:val="27327F13"/>
    <w:rsid w:val="279D33AE"/>
    <w:rsid w:val="27AC3A14"/>
    <w:rsid w:val="283B2521"/>
    <w:rsid w:val="28AC1ED8"/>
    <w:rsid w:val="29010677"/>
    <w:rsid w:val="2B4D5322"/>
    <w:rsid w:val="2C213B0E"/>
    <w:rsid w:val="2F10570F"/>
    <w:rsid w:val="2F2819F8"/>
    <w:rsid w:val="317967B1"/>
    <w:rsid w:val="32572CB0"/>
    <w:rsid w:val="32CB2F7B"/>
    <w:rsid w:val="34E51D3A"/>
    <w:rsid w:val="3782629D"/>
    <w:rsid w:val="380657E0"/>
    <w:rsid w:val="3A1145AF"/>
    <w:rsid w:val="3D1E75A7"/>
    <w:rsid w:val="3F6049B7"/>
    <w:rsid w:val="3FB13205"/>
    <w:rsid w:val="40C50F64"/>
    <w:rsid w:val="42253A94"/>
    <w:rsid w:val="422B0AC7"/>
    <w:rsid w:val="43FA3136"/>
    <w:rsid w:val="44D7423A"/>
    <w:rsid w:val="46AF3BC9"/>
    <w:rsid w:val="47CC6BDA"/>
    <w:rsid w:val="487671AB"/>
    <w:rsid w:val="49BF0020"/>
    <w:rsid w:val="4A14515D"/>
    <w:rsid w:val="4B6D20A7"/>
    <w:rsid w:val="4BE27134"/>
    <w:rsid w:val="4CF1183F"/>
    <w:rsid w:val="4D77008C"/>
    <w:rsid w:val="4D903DD3"/>
    <w:rsid w:val="4DE64F85"/>
    <w:rsid w:val="4E8C28E4"/>
    <w:rsid w:val="4F0E1D90"/>
    <w:rsid w:val="4FC41F46"/>
    <w:rsid w:val="505209FD"/>
    <w:rsid w:val="54FE12AD"/>
    <w:rsid w:val="55BE3C17"/>
    <w:rsid w:val="5620087B"/>
    <w:rsid w:val="5A333888"/>
    <w:rsid w:val="5B2F6498"/>
    <w:rsid w:val="5B716388"/>
    <w:rsid w:val="5C226281"/>
    <w:rsid w:val="5D237369"/>
    <w:rsid w:val="5D375CFC"/>
    <w:rsid w:val="5D625B32"/>
    <w:rsid w:val="5ED66A25"/>
    <w:rsid w:val="61353447"/>
    <w:rsid w:val="62840F25"/>
    <w:rsid w:val="62FB3F34"/>
    <w:rsid w:val="6633285F"/>
    <w:rsid w:val="6A855C4B"/>
    <w:rsid w:val="6BDF40EE"/>
    <w:rsid w:val="6E0C4A49"/>
    <w:rsid w:val="6E175BAB"/>
    <w:rsid w:val="6F3C324C"/>
    <w:rsid w:val="719515F5"/>
    <w:rsid w:val="72B47C97"/>
    <w:rsid w:val="73066F61"/>
    <w:rsid w:val="73262C99"/>
    <w:rsid w:val="73663EDE"/>
    <w:rsid w:val="73C2712E"/>
    <w:rsid w:val="75277D66"/>
    <w:rsid w:val="76460B34"/>
    <w:rsid w:val="76514837"/>
    <w:rsid w:val="76B8261D"/>
    <w:rsid w:val="78117866"/>
    <w:rsid w:val="78451356"/>
    <w:rsid w:val="78A94A62"/>
    <w:rsid w:val="794F3AE4"/>
    <w:rsid w:val="7BA30EF9"/>
    <w:rsid w:val="7C6061A4"/>
    <w:rsid w:val="7CF81C30"/>
    <w:rsid w:val="7DB83FEE"/>
    <w:rsid w:val="7EC17EF9"/>
    <w:rsid w:val="7ECD794D"/>
    <w:rsid w:val="7EF07283"/>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character" w:customStyle="1" w:styleId="8">
    <w:name w:val="font21"/>
    <w:basedOn w:val="6"/>
    <w:uiPriority w:val="0"/>
    <w:rPr>
      <w:rFonts w:hint="eastAsia" w:ascii="宋体" w:hAnsi="宋体" w:eastAsia="宋体" w:cs="宋体"/>
      <w:color w:val="000000"/>
      <w:sz w:val="18"/>
      <w:szCs w:val="18"/>
      <w:u w:val="none"/>
    </w:rPr>
  </w:style>
  <w:style w:type="character" w:customStyle="1" w:styleId="9">
    <w:name w:val="font3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b/>
      <w:color w:val="000000"/>
      <w:sz w:val="20"/>
      <w:szCs w:val="20"/>
      <w:u w:val="none"/>
    </w:rPr>
  </w:style>
  <w:style w:type="character" w:customStyle="1" w:styleId="11">
    <w:name w:val="font41"/>
    <w:basedOn w:val="6"/>
    <w:qFormat/>
    <w:uiPriority w:val="0"/>
    <w:rPr>
      <w:rFonts w:hint="default" w:ascii="Times New Roman" w:hAnsi="Times New Roman" w:eastAsia="宋体" w:cs="Times New Roman"/>
      <w:color w:val="000000"/>
      <w:sz w:val="22"/>
      <w:szCs w:val="22"/>
      <w:u w:val="none"/>
    </w:rPr>
  </w:style>
  <w:style w:type="character" w:customStyle="1" w:styleId="12">
    <w:name w:val="font71"/>
    <w:basedOn w:val="6"/>
    <w:qFormat/>
    <w:uiPriority w:val="0"/>
    <w:rPr>
      <w:rFonts w:hint="eastAsia" w:ascii="宋体" w:hAnsi="宋体" w:eastAsia="宋体" w:cs="宋体"/>
      <w:color w:val="000000"/>
      <w:sz w:val="28"/>
      <w:szCs w:val="28"/>
      <w:u w:val="none"/>
    </w:rPr>
  </w:style>
  <w:style w:type="character" w:customStyle="1" w:styleId="13">
    <w:name w:val="font11"/>
    <w:basedOn w:val="6"/>
    <w:uiPriority w:val="0"/>
    <w:rPr>
      <w:rFonts w:hint="default" w:ascii="仿宋_GB2312" w:eastAsia="仿宋_GB2312" w:cs="仿宋_GB2312"/>
      <w:color w:val="000000"/>
      <w:sz w:val="30"/>
      <w:szCs w:val="30"/>
      <w:u w:val="none"/>
    </w:rPr>
  </w:style>
  <w:style w:type="paragraph" w:customStyle="1" w:styleId="14">
    <w:name w:val="图表目录1"/>
    <w:basedOn w:val="15"/>
    <w:next w:val="1"/>
    <w:qFormat/>
    <w:uiPriority w:val="0"/>
    <w:pPr>
      <w:ind w:left="200" w:leftChars="200" w:hanging="200" w:hangingChars="200"/>
    </w:pPr>
    <w:rPr>
      <w:rFonts w:ascii="Calibri" w:hAnsi="Calibri" w:eastAsia="宋体" w:cs="Times New Roman"/>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1487</Words>
  <Characters>1610</Characters>
  <Lines>0</Lines>
  <Paragraphs>0</Paragraphs>
  <TotalTime>4</TotalTime>
  <ScaleCrop>false</ScaleCrop>
  <LinksUpToDate>false</LinksUpToDate>
  <CharactersWithSpaces>1669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WPS_1602483880</cp:lastModifiedBy>
  <cp:lastPrinted>2023-01-11T06:44:00Z</cp:lastPrinted>
  <dcterms:modified xsi:type="dcterms:W3CDTF">2024-11-18T07:20:27Z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B309D7910C074F15A20D968397FA0DDF_12</vt:lpwstr>
  </property>
</Properties>
</file>