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F14FE">
      <w:pPr>
        <w:keepNext w:val="0"/>
        <w:keepLines w:val="0"/>
        <w:pageBreakBefore w:val="0"/>
        <w:widowControl w:val="0"/>
        <w:spacing w:line="560" w:lineRule="exact"/>
        <w:ind w:right="0"/>
        <w:jc w:val="center"/>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梁河县财政局关于下达2021 年中央</w:t>
      </w:r>
    </w:p>
    <w:p w14:paraId="106543ED">
      <w:pPr>
        <w:keepNext w:val="0"/>
        <w:keepLines w:val="0"/>
        <w:pageBreakBefore w:val="0"/>
        <w:widowControl w:val="0"/>
        <w:spacing w:line="560" w:lineRule="exact"/>
        <w:ind w:left="440" w:right="0" w:hanging="440"/>
        <w:jc w:val="center"/>
        <w:outlineLvl w:val="9"/>
        <w:rPr>
          <w:rFonts w:hint="eastAsia" w:ascii="Times New Roman" w:hAnsi="Times New Roman" w:eastAsia="方正仿宋_GBK" w:cs="方正仿宋_GBK"/>
          <w:sz w:val="32"/>
          <w:szCs w:val="32"/>
          <w:lang w:eastAsia="zh-CN"/>
        </w:rPr>
      </w:pPr>
      <w:r>
        <w:rPr>
          <w:rFonts w:hint="eastAsia" w:ascii="方正小标宋简体" w:hAnsi="方正小标宋简体" w:eastAsia="方正小标宋简体" w:cs="方正小标宋简体"/>
          <w:b w:val="0"/>
          <w:bCs/>
          <w:sz w:val="44"/>
          <w:szCs w:val="44"/>
          <w:lang w:val="en-US" w:eastAsia="zh-CN"/>
        </w:rPr>
        <w:t>优抚对象补助经费的通知</w:t>
      </w:r>
    </w:p>
    <w:p w14:paraId="622E7BF9">
      <w:pPr>
        <w:keepNext w:val="0"/>
        <w:keepLines w:val="0"/>
        <w:pageBreakBefore w:val="0"/>
        <w:widowControl w:val="0"/>
        <w:spacing w:line="600" w:lineRule="exact"/>
        <w:ind w:left="0" w:right="0" w:firstLine="0"/>
        <w:jc w:val="both"/>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梁河县退役军人事务局：</w:t>
      </w:r>
    </w:p>
    <w:p w14:paraId="32FC6D79">
      <w:pPr>
        <w:keepNext w:val="0"/>
        <w:keepLines w:val="0"/>
        <w:pageBreakBefore w:val="0"/>
        <w:widowControl w:val="0"/>
        <w:spacing w:line="600" w:lineRule="exact"/>
        <w:ind w:left="0" w:right="0"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根据《德宏州财政局关于下达2021年中央优抚对象补助经费的通知》（</w:t>
      </w:r>
      <w:r>
        <w:rPr>
          <w:rFonts w:ascii="Times New Roman" w:hAnsi="Times New Roman" w:eastAsia="仿宋_GB2312" w:cs="Times New Roman"/>
          <w:sz w:val="32"/>
          <w:szCs w:val="32"/>
          <w:lang w:eastAsia="zh-CN"/>
        </w:rPr>
        <w:t>德财社〔202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号</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现下达你</w:t>
      </w:r>
      <w:r>
        <w:rPr>
          <w:rFonts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2021年中央优抚对象补助经费</w:t>
      </w:r>
      <w:r>
        <w:rPr>
          <w:rFonts w:ascii="Times New Roman" w:hAnsi="Times New Roman" w:eastAsia="仿宋_GB2312" w:cs="Times New Roman"/>
          <w:sz w:val="32"/>
          <w:szCs w:val="32"/>
          <w:lang w:val="en-US" w:eastAsia="zh-CN"/>
        </w:rPr>
        <w:t>379.01</w:t>
      </w:r>
      <w:r>
        <w:rPr>
          <w:rFonts w:ascii="Times New Roman" w:hAnsi="Times New Roman" w:eastAsia="仿宋_GB2312" w:cs="Times New Roman"/>
          <w:sz w:val="32"/>
          <w:szCs w:val="32"/>
        </w:rPr>
        <w:t>万元（具体金额详见附件）</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现将有关事项通知如下：</w:t>
      </w:r>
    </w:p>
    <w:p w14:paraId="45461A05">
      <w:pPr>
        <w:keepNext w:val="0"/>
        <w:keepLines w:val="0"/>
        <w:pageBreakBefore w:val="0"/>
        <w:widowControl w:val="0"/>
        <w:spacing w:line="600" w:lineRule="exact"/>
        <w:ind w:left="0" w:right="0" w:firstLine="640"/>
        <w:jc w:val="both"/>
        <w:outlineLvl w:val="9"/>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指标收入列入2021年政府收支分类科目“1100248社会保障和就业共同财政事权转移支付收入”科目，支出列入“20808 抚恤”科目，</w:t>
      </w:r>
      <w:r>
        <w:rPr>
          <w:rFonts w:ascii="Times New Roman" w:hAnsi="Times New Roman" w:eastAsia="仿宋_GB2312" w:cs="Times New Roman"/>
          <w:spacing w:val="-9"/>
          <w:sz w:val="32"/>
          <w:szCs w:val="32"/>
          <w:lang w:val="en-US" w:eastAsia="zh-CN"/>
        </w:rPr>
        <w:t>政府及部门预算支出经济分类科目请按资金管理规定列支</w:t>
      </w:r>
      <w:r>
        <w:rPr>
          <w:rFonts w:ascii="Times New Roman" w:hAnsi="Times New Roman" w:eastAsia="仿宋_GB2312" w:cs="Times New Roman"/>
          <w:sz w:val="32"/>
          <w:szCs w:val="32"/>
          <w:lang w:val="en-US" w:eastAsia="zh-CN"/>
        </w:rPr>
        <w:t>。</w:t>
      </w:r>
    </w:p>
    <w:p w14:paraId="6A5F22A0">
      <w:pPr>
        <w:keepNext w:val="0"/>
        <w:keepLines w:val="0"/>
        <w:pageBreakBefore w:val="0"/>
        <w:widowControl w:val="0"/>
        <w:spacing w:line="600" w:lineRule="exact"/>
        <w:ind w:left="0" w:right="0"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此次安排资金主要用于两个方面：一是伤残人员（含残疾军人、伤残人民警察、伤残国家机关工作人员、伤残民兵民工）、“三红”（在乡退伍红军老战士、在乡西路红军老战士、红军失散人员）、“三属”（烈士、因公牺牲和病故军人家属）、在乡老复员军人、带病回乡退伍军人、在农村的和城镇无工作单位且家庭生活困难的参战退役人员、部分原 8023 部队及其他参加核试验军队退役人员，以及符合条件的农村籍退役士兵、老烈士子女（含</w:t>
      </w:r>
      <w:r>
        <w:rPr>
          <w:rFonts w:hint="eastAsia" w:ascii="Times New Roman" w:hAnsi="Times New Roman" w:eastAsia="仿宋_GB2312" w:cs="Times New Roman"/>
          <w:sz w:val="32"/>
          <w:szCs w:val="32"/>
        </w:rPr>
        <w:t>中华人民共和国成立</w:t>
      </w:r>
      <w:bookmarkStart w:id="0" w:name="_GoBack"/>
      <w:bookmarkEnd w:id="0"/>
      <w:r>
        <w:rPr>
          <w:rFonts w:ascii="Times New Roman" w:hAnsi="Times New Roman" w:eastAsia="仿宋_GB2312" w:cs="Times New Roman"/>
          <w:sz w:val="32"/>
          <w:szCs w:val="32"/>
        </w:rPr>
        <w:t>前错杀后被平反人员的子女）、参与铀矿开采军队退役人员等人员抚恤和生活补助支出。二是</w:t>
      </w:r>
      <w:r>
        <w:rPr>
          <w:rFonts w:hint="eastAsia" w:ascii="Times New Roman" w:hAnsi="Times New Roman" w:eastAsia="仿宋_GB2312" w:cs="Times New Roman"/>
          <w:sz w:val="32"/>
          <w:szCs w:val="32"/>
        </w:rPr>
        <w:t>中华人民共和国成立</w:t>
      </w:r>
      <w:r>
        <w:rPr>
          <w:rFonts w:ascii="Times New Roman" w:hAnsi="Times New Roman" w:eastAsia="仿宋_GB2312" w:cs="Times New Roman"/>
          <w:sz w:val="32"/>
          <w:szCs w:val="32"/>
        </w:rPr>
        <w:t>前入党的农村老党员和未享受离退休待遇的城镇老党员生活补贴支出。各县市按规定的补助标准，统筹使用中央财政和中央管理的党费安排的补助资金，以及地方安排的补助资金。</w:t>
      </w:r>
    </w:p>
    <w:p w14:paraId="0F3E2482">
      <w:pPr>
        <w:keepNext w:val="0"/>
        <w:keepLines w:val="0"/>
        <w:pageBreakBefore w:val="0"/>
        <w:widowControl w:val="0"/>
        <w:spacing w:line="600" w:lineRule="exact"/>
        <w:ind w:left="0" w:right="0"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、请按照《中共中央 国务院关于全面实施预算绩效管理的意见》的要求，切实提高财政资金使用效益，在组织预算执行中对照区域绩效目标做好绩效监控，确保年度绩效目标如期实现。</w:t>
      </w:r>
    </w:p>
    <w:p w14:paraId="361D3B25">
      <w:pPr>
        <w:keepNext w:val="0"/>
        <w:keepLines w:val="0"/>
        <w:pageBreakBefore w:val="0"/>
        <w:widowControl w:val="0"/>
        <w:spacing w:line="600" w:lineRule="exact"/>
        <w:ind w:right="0"/>
        <w:jc w:val="both"/>
        <w:outlineLvl w:val="9"/>
        <w:rPr>
          <w:rFonts w:ascii="Times New Roman" w:hAnsi="Times New Roman" w:eastAsia="仿宋_GB2312" w:cs="Times New Roman"/>
          <w:sz w:val="32"/>
          <w:szCs w:val="32"/>
        </w:rPr>
      </w:pPr>
    </w:p>
    <w:p w14:paraId="34FAF39D">
      <w:pPr>
        <w:keepNext w:val="0"/>
        <w:keepLines w:val="0"/>
        <w:pageBreakBefore w:val="0"/>
        <w:widowControl w:val="0"/>
        <w:spacing w:line="600" w:lineRule="exact"/>
        <w:ind w:right="0"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附件：1.2021 年中央优抚对象补助经费</w:t>
      </w:r>
      <w:r>
        <w:rPr>
          <w:rFonts w:ascii="Times New Roman" w:hAnsi="Times New Roman" w:eastAsia="仿宋_GB2312" w:cs="Times New Roman"/>
          <w:sz w:val="32"/>
          <w:szCs w:val="32"/>
          <w:lang w:eastAsia="zh-CN"/>
        </w:rPr>
        <w:t>下达</w:t>
      </w:r>
      <w:r>
        <w:rPr>
          <w:rFonts w:ascii="Times New Roman" w:hAnsi="Times New Roman" w:eastAsia="仿宋_GB2312" w:cs="Times New Roman"/>
          <w:sz w:val="32"/>
          <w:szCs w:val="32"/>
        </w:rPr>
        <w:t>表</w:t>
      </w:r>
    </w:p>
    <w:p w14:paraId="4AA9A131">
      <w:pPr>
        <w:keepNext w:val="0"/>
        <w:keepLines w:val="0"/>
        <w:pageBreakBefore w:val="0"/>
        <w:widowControl w:val="0"/>
        <w:spacing w:line="600" w:lineRule="exact"/>
        <w:ind w:left="0" w:right="0" w:firstLine="16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2.2021 年中央优抚对象补助经费绩效目标表</w:t>
      </w:r>
    </w:p>
    <w:p w14:paraId="51766467">
      <w:pPr>
        <w:keepNext w:val="0"/>
        <w:keepLines w:val="0"/>
        <w:pageBreakBefore w:val="0"/>
        <w:widowControl w:val="0"/>
        <w:spacing w:line="600" w:lineRule="exact"/>
        <w:ind w:left="0" w:right="0"/>
        <w:jc w:val="both"/>
        <w:rPr>
          <w:rFonts w:hint="eastAsia" w:ascii="Times New Roman" w:hAnsi="Times New Roman" w:eastAsia="方正仿宋_GBK" w:cs="方正仿宋_GBK"/>
          <w:sz w:val="32"/>
          <w:szCs w:val="32"/>
          <w:lang w:val="en-US" w:eastAsia="zh-CN"/>
        </w:rPr>
      </w:pPr>
    </w:p>
    <w:p w14:paraId="7A33B8BA">
      <w:pPr>
        <w:keepNext w:val="0"/>
        <w:keepLines w:val="0"/>
        <w:pageBreakBefore w:val="0"/>
        <w:widowControl w:val="0"/>
        <w:spacing w:line="600" w:lineRule="exact"/>
        <w:ind w:left="0" w:right="0"/>
        <w:jc w:val="both"/>
        <w:rPr>
          <w:rFonts w:hint="eastAsia" w:ascii="Times New Roman" w:hAnsi="Times New Roman" w:eastAsia="方正仿宋_GBK" w:cs="方正仿宋_GBK"/>
          <w:sz w:val="32"/>
          <w:szCs w:val="32"/>
          <w:lang w:val="en-US" w:eastAsia="zh-CN"/>
        </w:rPr>
      </w:pPr>
    </w:p>
    <w:p w14:paraId="309195EF">
      <w:pPr>
        <w:keepNext w:val="0"/>
        <w:keepLines w:val="0"/>
        <w:pageBreakBefore w:val="0"/>
        <w:widowControl w:val="0"/>
        <w:spacing w:line="600" w:lineRule="exact"/>
        <w:ind w:left="0" w:right="0" w:firstLine="64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eastAsia="zh-CN"/>
        </w:rPr>
        <w:t>梁河县财政</w:t>
      </w:r>
      <w:r>
        <w:rPr>
          <w:rFonts w:hint="eastAsia" w:ascii="Times New Roman" w:hAnsi="Times New Roman" w:eastAsia="方正仿宋_GBK" w:cs="方正仿宋_GBK"/>
          <w:sz w:val="32"/>
          <w:szCs w:val="32"/>
        </w:rPr>
        <w:t>局</w:t>
      </w:r>
    </w:p>
    <w:p w14:paraId="2C94700F">
      <w:pPr>
        <w:keepNext w:val="0"/>
        <w:keepLines w:val="0"/>
        <w:pageBreakBefore w:val="0"/>
        <w:widowControl w:val="0"/>
        <w:spacing w:line="600" w:lineRule="exact"/>
        <w:ind w:left="0" w:right="0" w:firstLine="640"/>
        <w:jc w:val="right"/>
        <w:rPr>
          <w:rFonts w:eastAsia="方正仿宋_GBK" w:cs="方正仿宋_GBK"/>
          <w:sz w:val="32"/>
          <w:szCs w:val="32"/>
          <w:lang w:val="en-US" w:eastAsia="zh-CN"/>
        </w:rPr>
        <w:sectPr>
          <w:pgSz w:w="11906" w:h="16838" w:orient="landscape"/>
          <w:pgMar w:top="1440" w:right="1800" w:bottom="1440" w:left="1800" w:header="851" w:footer="992" w:gutter="0"/>
          <w:cols w:space="1701" w:num="1"/>
        </w:sect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22</w:t>
      </w:r>
      <w:r>
        <w:rPr>
          <w:rFonts w:hint="eastAsia" w:ascii="Times New Roman" w:hAnsi="Times New Roman" w:eastAsia="方正仿宋_GBK" w:cs="方正仿宋_GBK"/>
          <w:sz w:val="32"/>
          <w:szCs w:val="32"/>
          <w:lang w:eastAsia="zh-CN"/>
        </w:rPr>
        <w:t>日</w:t>
      </w:r>
      <w:r>
        <w:rPr>
          <w:rFonts w:hint="eastAsia" w:ascii="Times New Roman" w:hAnsi="Times New Roman" w:eastAsia="方正仿宋_GBK" w:cs="方正仿宋_GBK"/>
          <w:sz w:val="32"/>
          <w:szCs w:val="32"/>
        </w:rPr>
        <w:t xml:space="preserve">　              </w:t>
      </w:r>
    </w:p>
    <w:tbl>
      <w:tblPr>
        <w:tblStyle w:val="28"/>
        <w:tblW w:w="13974" w:type="dxa"/>
        <w:tblInd w:w="-1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2" w:type="dxa"/>
          <w:left w:w="12" w:type="dxa"/>
          <w:bottom w:w="0" w:type="dxa"/>
          <w:right w:w="12" w:type="dxa"/>
        </w:tblCellMar>
      </w:tblPr>
      <w:tblGrid>
        <w:gridCol w:w="2355"/>
        <w:gridCol w:w="1962"/>
        <w:gridCol w:w="1898"/>
        <w:gridCol w:w="1873"/>
        <w:gridCol w:w="2652"/>
        <w:gridCol w:w="2021"/>
        <w:gridCol w:w="1213"/>
      </w:tblGrid>
      <w:tr w14:paraId="679837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2" w:type="dxa"/>
            <w:left w:w="12" w:type="dxa"/>
            <w:bottom w:w="0" w:type="dxa"/>
            <w:right w:w="12" w:type="dxa"/>
          </w:tblCellMar>
        </w:tblPrEx>
        <w:trPr>
          <w:trHeight w:val="408" w:hRule="atLeast"/>
        </w:trPr>
        <w:tc>
          <w:tcPr>
            <w:tcW w:w="2355" w:type="dxa"/>
            <w:noWrap w:val="0"/>
            <w:tcMar>
              <w:top w:w="12" w:type="dxa"/>
              <w:left w:w="12" w:type="dxa"/>
              <w:right w:w="12" w:type="dxa"/>
            </w:tcMar>
            <w:vAlign w:val="center"/>
          </w:tcPr>
          <w:p w14:paraId="6686442D">
            <w:pPr>
              <w:keepNext w:val="0"/>
              <w:keepLines w:val="0"/>
              <w:widowControl/>
              <w:suppressLineNumbers w:val="0"/>
              <w:jc w:val="both"/>
              <w:rPr>
                <w:rFonts w:ascii="黑体" w:hAnsi="宋体" w:eastAsia="黑体" w:cs="黑体"/>
                <w:i w:val="0"/>
                <w:color w:val="000000"/>
                <w:sz w:val="32"/>
                <w:szCs w:val="32"/>
                <w:u w:val="none"/>
              </w:rPr>
            </w:pPr>
            <w:r>
              <w:rPr>
                <w:rFonts w:hint="eastAsia" w:ascii="黑体" w:hAnsi="宋体" w:eastAsia="黑体" w:cs="黑体"/>
                <w:i w:val="0"/>
                <w:color w:val="000000"/>
                <w:sz w:val="32"/>
                <w:szCs w:val="32"/>
                <w:u w:val="none"/>
                <w:lang w:val="en-US" w:eastAsia="zh-CN" w:bidi="ar"/>
              </w:rPr>
              <w:t>附件1</w:t>
            </w:r>
          </w:p>
        </w:tc>
        <w:tc>
          <w:tcPr>
            <w:tcW w:w="1962" w:type="dxa"/>
            <w:noWrap w:val="0"/>
            <w:tcMar>
              <w:top w:w="12" w:type="dxa"/>
              <w:left w:w="12" w:type="dxa"/>
              <w:right w:w="12" w:type="dxa"/>
            </w:tcMar>
            <w:vAlign w:val="center"/>
          </w:tcPr>
          <w:p w14:paraId="16FD0304">
            <w:pPr>
              <w:rPr>
                <w:rFonts w:hint="eastAsia" w:ascii="宋体" w:hAnsi="宋体" w:eastAsia="宋体" w:cs="宋体"/>
                <w:i w:val="0"/>
                <w:color w:val="000000"/>
                <w:sz w:val="22"/>
                <w:szCs w:val="22"/>
                <w:u w:val="none"/>
              </w:rPr>
            </w:pPr>
          </w:p>
        </w:tc>
        <w:tc>
          <w:tcPr>
            <w:tcW w:w="1898" w:type="dxa"/>
            <w:noWrap w:val="0"/>
            <w:tcMar>
              <w:top w:w="12" w:type="dxa"/>
              <w:left w:w="12" w:type="dxa"/>
              <w:right w:w="12" w:type="dxa"/>
            </w:tcMar>
            <w:vAlign w:val="center"/>
          </w:tcPr>
          <w:p w14:paraId="060E0001">
            <w:pPr>
              <w:rPr>
                <w:rFonts w:hint="eastAsia" w:ascii="宋体" w:hAnsi="宋体" w:eastAsia="宋体" w:cs="宋体"/>
                <w:i w:val="0"/>
                <w:color w:val="000000"/>
                <w:sz w:val="22"/>
                <w:szCs w:val="22"/>
                <w:u w:val="none"/>
              </w:rPr>
            </w:pPr>
          </w:p>
        </w:tc>
        <w:tc>
          <w:tcPr>
            <w:tcW w:w="1873" w:type="dxa"/>
            <w:noWrap w:val="0"/>
            <w:tcMar>
              <w:top w:w="12" w:type="dxa"/>
              <w:left w:w="12" w:type="dxa"/>
              <w:right w:w="12" w:type="dxa"/>
            </w:tcMar>
            <w:vAlign w:val="center"/>
          </w:tcPr>
          <w:p w14:paraId="309DDC3D">
            <w:pPr>
              <w:rPr>
                <w:rFonts w:hint="eastAsia" w:ascii="宋体" w:hAnsi="宋体" w:eastAsia="宋体" w:cs="宋体"/>
                <w:i w:val="0"/>
                <w:color w:val="000000"/>
                <w:sz w:val="22"/>
                <w:szCs w:val="22"/>
                <w:u w:val="none"/>
              </w:rPr>
            </w:pPr>
          </w:p>
        </w:tc>
        <w:tc>
          <w:tcPr>
            <w:tcW w:w="2652" w:type="dxa"/>
            <w:noWrap w:val="0"/>
            <w:tcMar>
              <w:top w:w="12" w:type="dxa"/>
              <w:left w:w="12" w:type="dxa"/>
              <w:right w:w="12" w:type="dxa"/>
            </w:tcMar>
            <w:vAlign w:val="center"/>
          </w:tcPr>
          <w:p w14:paraId="38214FBF">
            <w:pPr>
              <w:rPr>
                <w:rFonts w:hint="eastAsia" w:ascii="宋体" w:hAnsi="宋体" w:eastAsia="宋体" w:cs="宋体"/>
                <w:i w:val="0"/>
                <w:color w:val="000000"/>
                <w:sz w:val="22"/>
                <w:szCs w:val="22"/>
                <w:u w:val="none"/>
              </w:rPr>
            </w:pPr>
          </w:p>
        </w:tc>
        <w:tc>
          <w:tcPr>
            <w:tcW w:w="2021" w:type="dxa"/>
            <w:noWrap w:val="0"/>
            <w:tcMar>
              <w:top w:w="12" w:type="dxa"/>
              <w:left w:w="12" w:type="dxa"/>
              <w:right w:w="12" w:type="dxa"/>
            </w:tcMar>
            <w:vAlign w:val="center"/>
          </w:tcPr>
          <w:p w14:paraId="2D9B1780">
            <w:pPr>
              <w:rPr>
                <w:rFonts w:hint="eastAsia" w:ascii="宋体" w:hAnsi="宋体" w:eastAsia="宋体" w:cs="宋体"/>
                <w:i w:val="0"/>
                <w:color w:val="000000"/>
                <w:sz w:val="22"/>
                <w:szCs w:val="22"/>
                <w:u w:val="none"/>
              </w:rPr>
            </w:pPr>
          </w:p>
        </w:tc>
        <w:tc>
          <w:tcPr>
            <w:tcW w:w="1213" w:type="dxa"/>
            <w:noWrap w:val="0"/>
            <w:tcMar>
              <w:top w:w="12" w:type="dxa"/>
              <w:left w:w="12" w:type="dxa"/>
              <w:right w:w="12" w:type="dxa"/>
            </w:tcMar>
            <w:vAlign w:val="center"/>
          </w:tcPr>
          <w:p w14:paraId="2FA1D359">
            <w:pPr>
              <w:rPr>
                <w:rFonts w:hint="eastAsia" w:ascii="宋体" w:hAnsi="宋体" w:eastAsia="宋体" w:cs="宋体"/>
                <w:i w:val="0"/>
                <w:color w:val="000000"/>
                <w:sz w:val="22"/>
                <w:szCs w:val="22"/>
                <w:u w:val="none"/>
              </w:rPr>
            </w:pPr>
          </w:p>
        </w:tc>
      </w:tr>
      <w:tr w14:paraId="0E20B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2" w:type="dxa"/>
            <w:left w:w="12" w:type="dxa"/>
            <w:bottom w:w="0" w:type="dxa"/>
            <w:right w:w="12" w:type="dxa"/>
          </w:tblCellMar>
        </w:tblPrEx>
        <w:trPr>
          <w:trHeight w:val="408" w:hRule="atLeast"/>
        </w:trPr>
        <w:tc>
          <w:tcPr>
            <w:tcW w:w="13974" w:type="dxa"/>
            <w:gridSpan w:val="7"/>
            <w:noWrap w:val="0"/>
            <w:tcMar>
              <w:top w:w="12" w:type="dxa"/>
              <w:left w:w="12" w:type="dxa"/>
              <w:right w:w="12" w:type="dxa"/>
            </w:tcMar>
            <w:vAlign w:val="center"/>
          </w:tcPr>
          <w:p w14:paraId="424010D7">
            <w:pPr>
              <w:keepNext w:val="0"/>
              <w:keepLines w:val="0"/>
              <w:widowControl/>
              <w:suppressLineNumbers w:val="0"/>
              <w:jc w:val="center"/>
              <w:rPr>
                <w:rFonts w:hint="eastAsia" w:ascii="黑体" w:hAnsi="宋体" w:eastAsia="黑体" w:cs="黑体"/>
                <w:i w:val="0"/>
                <w:color w:val="000000"/>
                <w:sz w:val="32"/>
                <w:szCs w:val="32"/>
                <w:u w:val="none"/>
              </w:rPr>
            </w:pPr>
            <w:r>
              <w:rPr>
                <w:rFonts w:hint="eastAsia" w:ascii="黑体" w:hAnsi="宋体" w:eastAsia="黑体" w:cs="黑体"/>
                <w:i w:val="0"/>
                <w:color w:val="000000"/>
                <w:sz w:val="32"/>
                <w:szCs w:val="32"/>
                <w:u w:val="none"/>
                <w:lang w:val="en-US" w:eastAsia="zh-CN" w:bidi="ar"/>
              </w:rPr>
              <w:t>下达2021年优抚对象补助经费分配表制表</w:t>
            </w:r>
          </w:p>
        </w:tc>
      </w:tr>
      <w:tr w14:paraId="241C22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2" w:type="dxa"/>
            <w:left w:w="12" w:type="dxa"/>
            <w:bottom w:w="0" w:type="dxa"/>
            <w:right w:w="12" w:type="dxa"/>
          </w:tblCellMar>
        </w:tblPrEx>
        <w:trPr>
          <w:trHeight w:val="711" w:hRule="atLeast"/>
        </w:trPr>
        <w:tc>
          <w:tcPr>
            <w:tcW w:w="13974" w:type="dxa"/>
            <w:gridSpan w:val="7"/>
            <w:noWrap w:val="0"/>
            <w:tcMar>
              <w:top w:w="12" w:type="dxa"/>
              <w:left w:w="12" w:type="dxa"/>
              <w:right w:w="12" w:type="dxa"/>
            </w:tcMar>
            <w:vAlign w:val="center"/>
          </w:tcPr>
          <w:p w14:paraId="66A80C84">
            <w:pPr>
              <w:keepNext w:val="0"/>
              <w:keepLines w:val="0"/>
              <w:widowControl/>
              <w:suppressLineNumbers w:val="0"/>
              <w:jc w:val="right"/>
              <w:rPr>
                <w:rFonts w:ascii="仿宋_GB2312" w:hAnsi="宋体" w:eastAsia="仿宋_GB2312" w:cs="仿宋_GB2312"/>
                <w:i w:val="0"/>
                <w:color w:val="000000"/>
                <w:sz w:val="28"/>
                <w:szCs w:val="28"/>
                <w:u w:val="none"/>
              </w:rPr>
            </w:pPr>
            <w:r>
              <w:rPr>
                <w:rFonts w:ascii="仿宋_GB2312" w:hAnsi="宋体" w:eastAsia="仿宋_GB2312" w:cs="仿宋_GB2312"/>
                <w:i w:val="0"/>
                <w:color w:val="000000"/>
                <w:sz w:val="28"/>
                <w:szCs w:val="28"/>
                <w:u w:val="none"/>
                <w:lang w:val="en-US" w:eastAsia="zh-CN" w:bidi="ar"/>
              </w:rPr>
              <w:t xml:space="preserve">                                                  单位:万元</w:t>
            </w:r>
          </w:p>
        </w:tc>
      </w:tr>
      <w:tr w14:paraId="4389D7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2" w:type="dxa"/>
            <w:left w:w="12" w:type="dxa"/>
            <w:bottom w:w="0" w:type="dxa"/>
            <w:right w:w="12" w:type="dxa"/>
          </w:tblCellMar>
        </w:tblPrEx>
        <w:trPr>
          <w:trHeight w:val="1167" w:hRule="atLeast"/>
        </w:trPr>
        <w:tc>
          <w:tcPr>
            <w:tcW w:w="2355" w:type="dxa"/>
            <w:noWrap w:val="0"/>
            <w:tcMar>
              <w:top w:w="12" w:type="dxa"/>
              <w:left w:w="12" w:type="dxa"/>
              <w:right w:w="12" w:type="dxa"/>
            </w:tcMar>
            <w:vAlign w:val="center"/>
          </w:tcPr>
          <w:p w14:paraId="6220ECDD">
            <w:pPr>
              <w:keepNext w:val="0"/>
              <w:keepLines w:val="0"/>
              <w:widowControl/>
              <w:suppressLineNumbers w:val="0"/>
              <w:jc w:val="center"/>
              <w:rPr>
                <w:rFonts w:ascii="仿宋_GB2312" w:hAnsi="宋体" w:eastAsia="仿宋_GB2312" w:cs="仿宋_GB2312"/>
                <w:b/>
                <w:bCs/>
                <w:i w:val="0"/>
                <w:color w:val="000000"/>
                <w:sz w:val="32"/>
                <w:szCs w:val="32"/>
                <w:u w:val="none"/>
              </w:rPr>
            </w:pPr>
            <w:r>
              <w:rPr>
                <w:rFonts w:hint="eastAsia" w:ascii="仿宋_GB2312" w:hAnsi="宋体" w:eastAsia="仿宋_GB2312" w:cs="仿宋_GB2312"/>
                <w:b/>
                <w:bCs/>
                <w:i w:val="0"/>
                <w:color w:val="000000"/>
                <w:sz w:val="32"/>
                <w:szCs w:val="32"/>
                <w:u w:val="none"/>
                <w:lang w:val="en-US" w:eastAsia="zh-CN" w:bidi="ar"/>
              </w:rPr>
              <w:t>单  位</w:t>
            </w:r>
          </w:p>
        </w:tc>
        <w:tc>
          <w:tcPr>
            <w:tcW w:w="1962" w:type="dxa"/>
            <w:noWrap w:val="0"/>
            <w:tcMar>
              <w:top w:w="12" w:type="dxa"/>
              <w:left w:w="12" w:type="dxa"/>
              <w:right w:w="12" w:type="dxa"/>
            </w:tcMar>
            <w:vAlign w:val="center"/>
          </w:tcPr>
          <w:p w14:paraId="7C490FFF">
            <w:pPr>
              <w:keepNext w:val="0"/>
              <w:keepLines w:val="0"/>
              <w:widowControl/>
              <w:suppressLineNumbers w:val="0"/>
              <w:jc w:val="center"/>
              <w:rPr>
                <w:rFonts w:ascii="仿宋_GB2312" w:hAnsi="宋体" w:eastAsia="仿宋_GB2312" w:cs="仿宋_GB2312"/>
                <w:b/>
                <w:bCs/>
                <w:i w:val="0"/>
                <w:color w:val="000000"/>
                <w:sz w:val="32"/>
                <w:szCs w:val="32"/>
                <w:u w:val="none"/>
              </w:rPr>
            </w:pPr>
            <w:r>
              <w:rPr>
                <w:rFonts w:ascii="仿宋_GB2312" w:hAnsi="宋体" w:eastAsia="仿宋_GB2312" w:cs="仿宋_GB2312"/>
                <w:b/>
                <w:bCs/>
                <w:i w:val="0"/>
                <w:color w:val="000000"/>
                <w:sz w:val="32"/>
                <w:szCs w:val="32"/>
                <w:u w:val="none"/>
                <w:lang w:val="en-US" w:eastAsia="zh-CN" w:bidi="ar"/>
              </w:rPr>
              <w:t>经费合计</w:t>
            </w:r>
          </w:p>
        </w:tc>
        <w:tc>
          <w:tcPr>
            <w:tcW w:w="1898" w:type="dxa"/>
            <w:noWrap w:val="0"/>
            <w:tcMar>
              <w:top w:w="12" w:type="dxa"/>
              <w:left w:w="12" w:type="dxa"/>
              <w:right w:w="12" w:type="dxa"/>
            </w:tcMar>
            <w:vAlign w:val="center"/>
          </w:tcPr>
          <w:p w14:paraId="7634ED5B">
            <w:pPr>
              <w:keepNext w:val="0"/>
              <w:keepLines w:val="0"/>
              <w:widowControl/>
              <w:suppressLineNumbers w:val="0"/>
              <w:jc w:val="center"/>
              <w:rPr>
                <w:rFonts w:ascii="仿宋_GB2312" w:hAnsi="宋体" w:eastAsia="仿宋_GB2312" w:cs="仿宋_GB2312"/>
                <w:b/>
                <w:bCs/>
                <w:i w:val="0"/>
                <w:color w:val="000000"/>
                <w:sz w:val="32"/>
                <w:szCs w:val="32"/>
                <w:u w:val="none"/>
              </w:rPr>
            </w:pPr>
            <w:r>
              <w:rPr>
                <w:rFonts w:ascii="仿宋_GB2312" w:hAnsi="宋体" w:eastAsia="仿宋_GB2312" w:cs="仿宋_GB2312"/>
                <w:b/>
                <w:bCs/>
                <w:i w:val="0"/>
                <w:color w:val="000000"/>
                <w:sz w:val="32"/>
                <w:szCs w:val="32"/>
                <w:u w:val="none"/>
                <w:lang w:val="en-US" w:eastAsia="zh-CN" w:bidi="ar"/>
              </w:rPr>
              <w:t>伤残抚恤</w:t>
            </w:r>
          </w:p>
        </w:tc>
        <w:tc>
          <w:tcPr>
            <w:tcW w:w="1873" w:type="dxa"/>
            <w:noWrap w:val="0"/>
            <w:tcMar>
              <w:top w:w="12" w:type="dxa"/>
              <w:left w:w="12" w:type="dxa"/>
              <w:right w:w="12" w:type="dxa"/>
            </w:tcMar>
            <w:vAlign w:val="center"/>
          </w:tcPr>
          <w:p w14:paraId="5E6B9CF6">
            <w:pPr>
              <w:keepNext w:val="0"/>
              <w:keepLines w:val="0"/>
              <w:widowControl/>
              <w:suppressLineNumbers w:val="0"/>
              <w:jc w:val="center"/>
              <w:rPr>
                <w:rFonts w:ascii="仿宋_GB2312" w:hAnsi="宋体" w:eastAsia="仿宋_GB2312" w:cs="仿宋_GB2312"/>
                <w:b/>
                <w:bCs/>
                <w:i w:val="0"/>
                <w:color w:val="000000"/>
                <w:sz w:val="32"/>
                <w:szCs w:val="32"/>
                <w:u w:val="none"/>
              </w:rPr>
            </w:pPr>
            <w:r>
              <w:rPr>
                <w:rFonts w:ascii="仿宋_GB2312" w:hAnsi="宋体" w:eastAsia="仿宋_GB2312" w:cs="仿宋_GB2312"/>
                <w:b/>
                <w:bCs/>
                <w:i w:val="0"/>
                <w:color w:val="000000"/>
                <w:sz w:val="32"/>
                <w:szCs w:val="32"/>
                <w:u w:val="none"/>
                <w:lang w:val="en-US" w:eastAsia="zh-CN" w:bidi="ar"/>
              </w:rPr>
              <w:t>死亡抚恤</w:t>
            </w:r>
          </w:p>
        </w:tc>
        <w:tc>
          <w:tcPr>
            <w:tcW w:w="2652" w:type="dxa"/>
            <w:noWrap w:val="0"/>
            <w:tcMar>
              <w:top w:w="12" w:type="dxa"/>
              <w:left w:w="12" w:type="dxa"/>
              <w:right w:w="12" w:type="dxa"/>
            </w:tcMar>
            <w:vAlign w:val="center"/>
          </w:tcPr>
          <w:p w14:paraId="5EF72B2A">
            <w:pPr>
              <w:keepNext w:val="0"/>
              <w:keepLines w:val="0"/>
              <w:widowControl/>
              <w:suppressLineNumbers w:val="0"/>
              <w:jc w:val="center"/>
              <w:rPr>
                <w:rFonts w:ascii="仿宋_GB2312" w:hAnsi="宋体" w:eastAsia="仿宋_GB2312" w:cs="仿宋_GB2312"/>
                <w:b/>
                <w:bCs/>
                <w:i w:val="0"/>
                <w:color w:val="000000"/>
                <w:sz w:val="32"/>
                <w:szCs w:val="32"/>
                <w:u w:val="none"/>
              </w:rPr>
            </w:pPr>
            <w:r>
              <w:rPr>
                <w:rFonts w:ascii="仿宋_GB2312" w:hAnsi="宋体" w:eastAsia="仿宋_GB2312" w:cs="仿宋_GB2312"/>
                <w:b/>
                <w:bCs/>
                <w:i w:val="0"/>
                <w:color w:val="000000"/>
                <w:sz w:val="32"/>
                <w:szCs w:val="32"/>
                <w:u w:val="none"/>
                <w:lang w:val="en-US" w:eastAsia="zh-CN" w:bidi="ar"/>
              </w:rPr>
              <w:t>在乡复员退伍军人生活补助</w:t>
            </w:r>
          </w:p>
        </w:tc>
        <w:tc>
          <w:tcPr>
            <w:tcW w:w="2021" w:type="dxa"/>
            <w:noWrap w:val="0"/>
            <w:tcMar>
              <w:top w:w="12" w:type="dxa"/>
              <w:left w:w="12" w:type="dxa"/>
              <w:right w:w="12" w:type="dxa"/>
            </w:tcMar>
            <w:vAlign w:val="center"/>
          </w:tcPr>
          <w:p w14:paraId="05257F80">
            <w:pPr>
              <w:keepNext w:val="0"/>
              <w:keepLines w:val="0"/>
              <w:widowControl/>
              <w:suppressLineNumbers w:val="0"/>
              <w:jc w:val="center"/>
              <w:rPr>
                <w:rFonts w:ascii="仿宋_GB2312" w:hAnsi="宋体" w:eastAsia="仿宋_GB2312" w:cs="仿宋_GB2312"/>
                <w:b/>
                <w:bCs/>
                <w:i w:val="0"/>
                <w:color w:val="000000"/>
                <w:sz w:val="32"/>
                <w:szCs w:val="32"/>
                <w:u w:val="none"/>
              </w:rPr>
            </w:pPr>
            <w:r>
              <w:rPr>
                <w:rFonts w:ascii="仿宋_GB2312" w:hAnsi="宋体" w:eastAsia="仿宋_GB2312" w:cs="仿宋_GB2312"/>
                <w:b/>
                <w:bCs/>
                <w:i w:val="0"/>
                <w:color w:val="000000"/>
                <w:sz w:val="32"/>
                <w:szCs w:val="32"/>
                <w:u w:val="none"/>
                <w:lang w:val="en-US" w:eastAsia="zh-CN" w:bidi="ar"/>
              </w:rPr>
              <w:t>其他优抚支出</w:t>
            </w:r>
          </w:p>
        </w:tc>
        <w:tc>
          <w:tcPr>
            <w:tcW w:w="1213" w:type="dxa"/>
            <w:noWrap w:val="0"/>
            <w:tcMar>
              <w:top w:w="12" w:type="dxa"/>
              <w:left w:w="12" w:type="dxa"/>
              <w:right w:w="12" w:type="dxa"/>
            </w:tcMar>
            <w:vAlign w:val="center"/>
          </w:tcPr>
          <w:p w14:paraId="638D6983">
            <w:pPr>
              <w:keepNext w:val="0"/>
              <w:keepLines w:val="0"/>
              <w:widowControl/>
              <w:suppressLineNumbers w:val="0"/>
              <w:jc w:val="center"/>
              <w:rPr>
                <w:rFonts w:hint="eastAsia" w:ascii="宋体" w:hAnsi="宋体" w:eastAsia="宋体" w:cs="宋体"/>
                <w:b/>
                <w:bCs/>
                <w:i w:val="0"/>
                <w:color w:val="000000"/>
                <w:sz w:val="32"/>
                <w:szCs w:val="32"/>
                <w:u w:val="none"/>
              </w:rPr>
            </w:pPr>
            <w:r>
              <w:rPr>
                <w:rFonts w:hint="eastAsia" w:ascii="仿宋_GB2312" w:hAnsi="宋体" w:eastAsia="仿宋_GB2312" w:cs="仿宋_GB2312"/>
                <w:b/>
                <w:bCs/>
                <w:i w:val="0"/>
                <w:color w:val="000000"/>
                <w:sz w:val="32"/>
                <w:szCs w:val="32"/>
                <w:u w:val="none"/>
                <w:lang w:val="en-US" w:eastAsia="zh-CN" w:bidi="ar"/>
              </w:rPr>
              <w:t>备 注</w:t>
            </w:r>
          </w:p>
        </w:tc>
      </w:tr>
      <w:tr w14:paraId="42D383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2" w:type="dxa"/>
            <w:left w:w="12" w:type="dxa"/>
            <w:bottom w:w="0" w:type="dxa"/>
            <w:right w:w="12" w:type="dxa"/>
          </w:tblCellMar>
        </w:tblPrEx>
        <w:trPr>
          <w:trHeight w:val="399" w:hRule="atLeast"/>
        </w:trPr>
        <w:tc>
          <w:tcPr>
            <w:tcW w:w="2355" w:type="dxa"/>
            <w:noWrap w:val="0"/>
            <w:tcMar>
              <w:top w:w="12" w:type="dxa"/>
              <w:left w:w="12" w:type="dxa"/>
              <w:right w:w="12" w:type="dxa"/>
            </w:tcMar>
            <w:vAlign w:val="top"/>
          </w:tcPr>
          <w:p w14:paraId="466B2314">
            <w:pPr>
              <w:keepNext w:val="0"/>
              <w:keepLines w:val="0"/>
              <w:widowControl/>
              <w:suppressLineNumbers w:val="0"/>
              <w:jc w:val="center"/>
              <w:rPr>
                <w:rFonts w:ascii="仿宋_GB2312" w:hAnsi="宋体" w:eastAsia="仿宋_GB2312" w:cs="仿宋_GB2312"/>
                <w:i w:val="0"/>
                <w:color w:val="000000"/>
                <w:sz w:val="30"/>
                <w:szCs w:val="30"/>
                <w:u w:val="none"/>
                <w:lang w:val="en-US" w:eastAsia="zh-CN" w:bidi="ar"/>
              </w:rPr>
            </w:pPr>
            <w:r>
              <w:rPr>
                <w:rFonts w:hint="eastAsia" w:ascii="仿宋_GB2312" w:hAnsi="宋体" w:eastAsia="仿宋_GB2312" w:cs="仿宋_GB2312"/>
                <w:i w:val="0"/>
                <w:color w:val="000000"/>
                <w:sz w:val="30"/>
                <w:szCs w:val="30"/>
                <w:u w:val="none"/>
                <w:lang w:val="en-US" w:eastAsia="zh-CN" w:bidi="ar"/>
              </w:rPr>
              <w:t>退役军人事务局</w:t>
            </w:r>
          </w:p>
        </w:tc>
        <w:tc>
          <w:tcPr>
            <w:tcW w:w="1962" w:type="dxa"/>
            <w:noWrap w:val="0"/>
            <w:tcMar>
              <w:top w:w="12" w:type="dxa"/>
              <w:left w:w="12" w:type="dxa"/>
              <w:right w:w="12" w:type="dxa"/>
            </w:tcMar>
            <w:vAlign w:val="center"/>
          </w:tcPr>
          <w:p w14:paraId="5687A63F">
            <w:pPr>
              <w:keepNext w:val="0"/>
              <w:keepLines w:val="0"/>
              <w:widowControl/>
              <w:suppressLineNumbers w:val="0"/>
              <w:jc w:val="center"/>
              <w:rPr>
                <w:rFonts w:ascii="仿宋_GB2312" w:hAnsi="宋体" w:eastAsia="仿宋_GB2312" w:cs="仿宋_GB2312"/>
                <w:i w:val="0"/>
                <w:color w:val="000000"/>
                <w:sz w:val="30"/>
                <w:szCs w:val="30"/>
                <w:u w:val="none"/>
                <w:lang w:val="en-US" w:eastAsia="zh-CN" w:bidi="ar"/>
              </w:rPr>
            </w:pPr>
            <w:r>
              <w:rPr>
                <w:rFonts w:ascii="仿宋_GB2312" w:hAnsi="宋体" w:eastAsia="仿宋_GB2312" w:cs="仿宋_GB2312"/>
                <w:i w:val="0"/>
                <w:color w:val="000000"/>
                <w:sz w:val="30"/>
                <w:szCs w:val="30"/>
                <w:u w:val="none"/>
                <w:lang w:val="en-US" w:eastAsia="zh-CN" w:bidi="ar"/>
              </w:rPr>
              <w:t>379.01</w:t>
            </w:r>
          </w:p>
        </w:tc>
        <w:tc>
          <w:tcPr>
            <w:tcW w:w="1898" w:type="dxa"/>
            <w:noWrap w:val="0"/>
            <w:tcMar>
              <w:top w:w="12" w:type="dxa"/>
              <w:left w:w="12" w:type="dxa"/>
              <w:right w:w="12" w:type="dxa"/>
            </w:tcMar>
            <w:vAlign w:val="center"/>
          </w:tcPr>
          <w:p w14:paraId="6FEA5D90">
            <w:pPr>
              <w:keepNext w:val="0"/>
              <w:keepLines w:val="0"/>
              <w:widowControl/>
              <w:suppressLineNumbers w:val="0"/>
              <w:jc w:val="center"/>
              <w:rPr>
                <w:rFonts w:ascii="仿宋_GB2312" w:hAnsi="宋体" w:eastAsia="仿宋_GB2312" w:cs="仿宋_GB2312"/>
                <w:i w:val="0"/>
                <w:color w:val="000000"/>
                <w:sz w:val="30"/>
                <w:szCs w:val="30"/>
                <w:u w:val="none"/>
                <w:lang w:val="en-US" w:eastAsia="zh-CN" w:bidi="ar"/>
              </w:rPr>
            </w:pPr>
            <w:r>
              <w:rPr>
                <w:rFonts w:ascii="仿宋_GB2312" w:hAnsi="宋体" w:eastAsia="仿宋_GB2312" w:cs="仿宋_GB2312"/>
                <w:i w:val="0"/>
                <w:color w:val="000000"/>
                <w:sz w:val="30"/>
                <w:szCs w:val="30"/>
                <w:u w:val="none"/>
                <w:lang w:val="en-US" w:eastAsia="zh-CN" w:bidi="ar"/>
              </w:rPr>
              <w:t>50.39</w:t>
            </w:r>
          </w:p>
        </w:tc>
        <w:tc>
          <w:tcPr>
            <w:tcW w:w="1873" w:type="dxa"/>
            <w:noWrap w:val="0"/>
            <w:tcMar>
              <w:top w:w="12" w:type="dxa"/>
              <w:left w:w="12" w:type="dxa"/>
              <w:right w:w="12" w:type="dxa"/>
            </w:tcMar>
            <w:vAlign w:val="center"/>
          </w:tcPr>
          <w:p w14:paraId="799B2888">
            <w:pPr>
              <w:keepNext w:val="0"/>
              <w:keepLines w:val="0"/>
              <w:widowControl/>
              <w:suppressLineNumbers w:val="0"/>
              <w:jc w:val="center"/>
              <w:rPr>
                <w:rFonts w:ascii="仿宋_GB2312" w:hAnsi="宋体" w:eastAsia="仿宋_GB2312" w:cs="仿宋_GB2312"/>
                <w:i w:val="0"/>
                <w:color w:val="000000"/>
                <w:sz w:val="30"/>
                <w:szCs w:val="30"/>
                <w:u w:val="none"/>
                <w:lang w:val="en-US" w:eastAsia="zh-CN" w:bidi="ar"/>
              </w:rPr>
            </w:pPr>
            <w:r>
              <w:rPr>
                <w:rFonts w:ascii="仿宋_GB2312" w:hAnsi="宋体" w:eastAsia="仿宋_GB2312" w:cs="仿宋_GB2312"/>
                <w:i w:val="0"/>
                <w:color w:val="000000"/>
                <w:sz w:val="30"/>
                <w:szCs w:val="30"/>
                <w:u w:val="none"/>
                <w:lang w:val="en-US" w:eastAsia="zh-CN" w:bidi="ar"/>
              </w:rPr>
              <w:t>29.01</w:t>
            </w:r>
          </w:p>
        </w:tc>
        <w:tc>
          <w:tcPr>
            <w:tcW w:w="2652" w:type="dxa"/>
            <w:noWrap w:val="0"/>
            <w:tcMar>
              <w:top w:w="12" w:type="dxa"/>
              <w:left w:w="12" w:type="dxa"/>
              <w:right w:w="12" w:type="dxa"/>
            </w:tcMar>
            <w:vAlign w:val="center"/>
          </w:tcPr>
          <w:p w14:paraId="5AD23C7A">
            <w:pPr>
              <w:keepNext w:val="0"/>
              <w:keepLines w:val="0"/>
              <w:widowControl/>
              <w:suppressLineNumbers w:val="0"/>
              <w:jc w:val="center"/>
              <w:rPr>
                <w:rFonts w:ascii="仿宋_GB2312" w:hAnsi="宋体" w:eastAsia="仿宋_GB2312" w:cs="仿宋_GB2312"/>
                <w:i w:val="0"/>
                <w:color w:val="000000"/>
                <w:sz w:val="30"/>
                <w:szCs w:val="30"/>
                <w:u w:val="none"/>
                <w:lang w:val="en-US" w:eastAsia="zh-CN" w:bidi="ar"/>
              </w:rPr>
            </w:pPr>
            <w:r>
              <w:rPr>
                <w:rFonts w:ascii="仿宋_GB2312" w:hAnsi="宋体" w:eastAsia="仿宋_GB2312" w:cs="仿宋_GB2312"/>
                <w:i w:val="0"/>
                <w:color w:val="000000"/>
                <w:sz w:val="30"/>
                <w:szCs w:val="30"/>
                <w:u w:val="none"/>
                <w:lang w:val="en-US" w:eastAsia="zh-CN" w:bidi="ar"/>
              </w:rPr>
              <w:t>106.01</w:t>
            </w:r>
          </w:p>
        </w:tc>
        <w:tc>
          <w:tcPr>
            <w:tcW w:w="2021" w:type="dxa"/>
            <w:noWrap w:val="0"/>
            <w:tcMar>
              <w:top w:w="12" w:type="dxa"/>
              <w:left w:w="12" w:type="dxa"/>
              <w:right w:w="12" w:type="dxa"/>
            </w:tcMar>
            <w:vAlign w:val="center"/>
          </w:tcPr>
          <w:p w14:paraId="3950383C">
            <w:pPr>
              <w:keepNext w:val="0"/>
              <w:keepLines w:val="0"/>
              <w:widowControl/>
              <w:suppressLineNumbers w:val="0"/>
              <w:jc w:val="center"/>
              <w:rPr>
                <w:rFonts w:ascii="仿宋_GB2312" w:hAnsi="宋体" w:eastAsia="仿宋_GB2312" w:cs="仿宋_GB2312"/>
                <w:i w:val="0"/>
                <w:color w:val="000000"/>
                <w:sz w:val="30"/>
                <w:szCs w:val="30"/>
                <w:u w:val="none"/>
                <w:lang w:val="en-US" w:eastAsia="zh-CN" w:bidi="ar"/>
              </w:rPr>
            </w:pPr>
            <w:r>
              <w:rPr>
                <w:rFonts w:ascii="仿宋_GB2312" w:hAnsi="宋体" w:eastAsia="仿宋_GB2312" w:cs="仿宋_GB2312"/>
                <w:i w:val="0"/>
                <w:color w:val="000000"/>
                <w:sz w:val="30"/>
                <w:szCs w:val="30"/>
                <w:u w:val="none"/>
                <w:lang w:val="en-US" w:eastAsia="zh-CN" w:bidi="ar"/>
              </w:rPr>
              <w:t>193.6</w:t>
            </w:r>
          </w:p>
        </w:tc>
        <w:tc>
          <w:tcPr>
            <w:tcW w:w="1213" w:type="dxa"/>
            <w:noWrap w:val="0"/>
            <w:tcMar>
              <w:top w:w="12" w:type="dxa"/>
              <w:left w:w="12" w:type="dxa"/>
              <w:right w:w="12" w:type="dxa"/>
            </w:tcMar>
            <w:vAlign w:val="center"/>
          </w:tcPr>
          <w:p w14:paraId="2B99399E">
            <w:pPr>
              <w:rPr>
                <w:rFonts w:hint="eastAsia" w:ascii="宋体" w:hAnsi="宋体" w:eastAsia="宋体" w:cs="宋体"/>
                <w:i w:val="0"/>
                <w:color w:val="000000"/>
                <w:sz w:val="22"/>
                <w:szCs w:val="22"/>
                <w:u w:val="none"/>
              </w:rPr>
            </w:pPr>
          </w:p>
        </w:tc>
      </w:tr>
    </w:tbl>
    <w:p w14:paraId="201C31E8">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3DD49E2F">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049422A6">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7E2353DC">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354889E8">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02563B36">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3ADE0B32">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2A0B0EF9">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12B6A37C">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3B299226">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23C97FA9">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17132C35">
      <w:pPr>
        <w:keepNext w:val="0"/>
        <w:keepLines w:val="0"/>
        <w:widowControl/>
        <w:suppressLineNumbers w:val="0"/>
        <w:jc w:val="left"/>
        <w:rPr>
          <w:rFonts w:ascii="宋体" w:hAnsi="宋体" w:eastAsia="宋体" w:cs="宋体"/>
          <w:i w:val="0"/>
          <w:color w:val="000000"/>
          <w:sz w:val="20"/>
          <w:szCs w:val="20"/>
          <w:u w:val="none"/>
          <w:lang w:val="en-US" w:eastAsia="zh-CN" w:bidi="ar"/>
        </w:rPr>
      </w:pPr>
    </w:p>
    <w:p w14:paraId="49F3A87D">
      <w:pPr>
        <w:keepNext w:val="0"/>
        <w:keepLines w:val="0"/>
        <w:widowControl/>
        <w:suppressLineNumbers w:val="0"/>
        <w:jc w:val="left"/>
        <w:rPr>
          <w:rFonts w:ascii="宋体" w:hAnsi="宋体" w:eastAsia="宋体" w:cs="宋体"/>
          <w:i w:val="0"/>
          <w:color w:val="000000"/>
          <w:sz w:val="20"/>
          <w:szCs w:val="20"/>
          <w:u w:val="none"/>
          <w:lang w:val="en-US" w:eastAsia="zh-CN" w:bidi="ar"/>
        </w:rPr>
        <w:sectPr>
          <w:pgSz w:w="16838" w:h="11906"/>
          <w:pgMar w:top="1803" w:right="1440" w:bottom="1803" w:left="1440" w:header="851" w:footer="992" w:gutter="0"/>
          <w:cols w:space="1701" w:num="1"/>
        </w:sectPr>
      </w:pPr>
    </w:p>
    <w:p w14:paraId="7A0DBADC">
      <w:pPr>
        <w:rPr>
          <w:rFonts w:hint="eastAsia" w:ascii="黑体" w:hAnsi="黑体" w:eastAsia="黑体" w:cs="黑体"/>
          <w:b w:val="0"/>
          <w:bCs/>
          <w:sz w:val="32"/>
          <w:szCs w:val="32"/>
        </w:rPr>
      </w:pPr>
      <w:r>
        <w:rPr>
          <w:rFonts w:hint="eastAsia" w:ascii="黑体" w:hAnsi="黑体" w:eastAsia="黑体" w:cs="黑体"/>
          <w:b w:val="0"/>
          <w:bCs/>
          <w:sz w:val="32"/>
          <w:szCs w:val="32"/>
        </w:rPr>
        <w:t>附件2</w:t>
      </w:r>
    </w:p>
    <w:p w14:paraId="5E110A5E">
      <w:pPr>
        <w:jc w:val="center"/>
        <w:rPr>
          <w:rFonts w:hint="eastAsia" w:ascii="黑体" w:hAnsi="黑体" w:eastAsia="黑体" w:cs="黑体"/>
          <w:sz w:val="32"/>
          <w:szCs w:val="32"/>
        </w:rPr>
      </w:pPr>
      <w:r>
        <w:rPr>
          <w:rFonts w:hint="eastAsia" w:ascii="黑体" w:hAnsi="黑体" w:eastAsia="黑体" w:cs="黑体"/>
          <w:sz w:val="32"/>
          <w:szCs w:val="32"/>
          <w:lang w:val="en-US" w:eastAsia="zh-CN"/>
        </w:rPr>
        <w:t>2021年</w:t>
      </w:r>
      <w:r>
        <w:rPr>
          <w:rFonts w:hint="eastAsia" w:ascii="黑体" w:hAnsi="黑体" w:eastAsia="黑体" w:cs="黑体"/>
          <w:sz w:val="32"/>
          <w:szCs w:val="32"/>
        </w:rPr>
        <w:t>优抚对象</w:t>
      </w:r>
      <w:r>
        <w:rPr>
          <w:rFonts w:hint="eastAsia" w:ascii="黑体" w:hAnsi="黑体" w:eastAsia="黑体" w:cs="黑体"/>
          <w:sz w:val="32"/>
          <w:szCs w:val="32"/>
          <w:lang w:eastAsia="zh-CN"/>
        </w:rPr>
        <w:t>补助</w:t>
      </w:r>
      <w:r>
        <w:rPr>
          <w:rFonts w:hint="eastAsia" w:ascii="黑体" w:hAnsi="黑体" w:eastAsia="黑体" w:cs="黑体"/>
          <w:sz w:val="32"/>
          <w:szCs w:val="32"/>
        </w:rPr>
        <w:t>经费绩效目标表</w:t>
      </w:r>
    </w:p>
    <w:tbl>
      <w:tblPr>
        <w:tblStyle w:val="184"/>
        <w:tblpPr w:leftFromText="180" w:rightFromText="180" w:vertAnchor="text" w:horzAnchor="page" w:tblpX="793" w:tblpY="624"/>
        <w:tblW w:w="1061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0"/>
        <w:gridCol w:w="1087"/>
        <w:gridCol w:w="1793"/>
        <w:gridCol w:w="3247"/>
        <w:gridCol w:w="2686"/>
      </w:tblGrid>
      <w:tr w14:paraId="62AE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800" w:type="dxa"/>
            <w:noWrap w:val="0"/>
            <w:vAlign w:val="top"/>
          </w:tcPr>
          <w:p w14:paraId="4A69A39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项目名称</w:t>
            </w:r>
          </w:p>
        </w:tc>
        <w:tc>
          <w:tcPr>
            <w:tcW w:w="8813" w:type="dxa"/>
            <w:gridSpan w:val="4"/>
            <w:noWrap w:val="0"/>
            <w:vAlign w:val="top"/>
          </w:tcPr>
          <w:p w14:paraId="3EFAE72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下达</w:t>
            </w:r>
            <w:r>
              <w:rPr>
                <w:rFonts w:hint="eastAsia" w:ascii="方正仿宋_GBK" w:hAnsi="方正仿宋_GBK" w:eastAsia="方正仿宋_GBK" w:cs="方正仿宋_GBK"/>
                <w:sz w:val="21"/>
                <w:szCs w:val="21"/>
                <w:lang w:val="en-US" w:eastAsia="zh-CN"/>
              </w:rPr>
              <w:t>2021年中央</w:t>
            </w:r>
            <w:r>
              <w:rPr>
                <w:rFonts w:hint="eastAsia" w:ascii="方正仿宋_GBK" w:hAnsi="方正仿宋_GBK" w:eastAsia="方正仿宋_GBK" w:cs="方正仿宋_GBK"/>
                <w:sz w:val="21"/>
                <w:szCs w:val="21"/>
              </w:rPr>
              <w:t>优抚对象</w:t>
            </w:r>
            <w:r>
              <w:rPr>
                <w:rFonts w:hint="eastAsia" w:ascii="方正仿宋_GBK" w:hAnsi="方正仿宋_GBK" w:eastAsia="方正仿宋_GBK" w:cs="方正仿宋_GBK"/>
                <w:sz w:val="21"/>
                <w:szCs w:val="21"/>
                <w:lang w:eastAsia="zh-CN"/>
              </w:rPr>
              <w:t>医疗保障</w:t>
            </w:r>
            <w:r>
              <w:rPr>
                <w:rFonts w:hint="eastAsia" w:ascii="方正仿宋_GBK" w:hAnsi="方正仿宋_GBK" w:eastAsia="方正仿宋_GBK" w:cs="方正仿宋_GBK"/>
                <w:sz w:val="21"/>
                <w:szCs w:val="21"/>
              </w:rPr>
              <w:t>补助经费</w:t>
            </w:r>
          </w:p>
        </w:tc>
      </w:tr>
      <w:tr w14:paraId="148F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800" w:type="dxa"/>
            <w:noWrap w:val="0"/>
            <w:vAlign w:val="top"/>
          </w:tcPr>
          <w:p w14:paraId="037D91D1">
            <w:pPr>
              <w:jc w:val="center"/>
              <w:rPr>
                <w:rFonts w:hint="eastAsia" w:ascii="方正仿宋_GBK" w:hAnsi="方正仿宋_GBK" w:eastAsia="方正仿宋_GBK" w:cs="方正仿宋_GBK"/>
                <w:spacing w:val="-20"/>
                <w:sz w:val="21"/>
                <w:szCs w:val="21"/>
                <w:lang w:eastAsia="zh-CN"/>
              </w:rPr>
            </w:pPr>
            <w:r>
              <w:rPr>
                <w:rFonts w:hint="eastAsia" w:ascii="方正仿宋_GBK" w:hAnsi="方正仿宋_GBK" w:eastAsia="方正仿宋_GBK" w:cs="方正仿宋_GBK"/>
                <w:spacing w:val="-20"/>
                <w:sz w:val="21"/>
                <w:szCs w:val="21"/>
                <w:lang w:eastAsia="zh-CN"/>
              </w:rPr>
              <w:t>项目实施部门</w:t>
            </w:r>
          </w:p>
        </w:tc>
        <w:tc>
          <w:tcPr>
            <w:tcW w:w="8813" w:type="dxa"/>
            <w:gridSpan w:val="4"/>
            <w:noWrap w:val="0"/>
            <w:vAlign w:val="top"/>
          </w:tcPr>
          <w:p w14:paraId="7EB00B88">
            <w:pPr>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梁河县退役军人事务局</w:t>
            </w:r>
          </w:p>
        </w:tc>
      </w:tr>
      <w:tr w14:paraId="42295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00" w:type="dxa"/>
            <w:noWrap w:val="0"/>
            <w:vAlign w:val="top"/>
          </w:tcPr>
          <w:p w14:paraId="0A856B6E">
            <w:pPr>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资金</w:t>
            </w:r>
            <w:r>
              <w:rPr>
                <w:rFonts w:hint="eastAsia" w:ascii="方正仿宋_GBK" w:hAnsi="方正仿宋_GBK" w:eastAsia="方正仿宋_GBK" w:cs="方正仿宋_GBK"/>
                <w:sz w:val="21"/>
                <w:szCs w:val="21"/>
                <w:lang w:eastAsia="zh-CN"/>
              </w:rPr>
              <w:t>（万元）</w:t>
            </w:r>
          </w:p>
        </w:tc>
        <w:tc>
          <w:tcPr>
            <w:tcW w:w="8813" w:type="dxa"/>
            <w:gridSpan w:val="4"/>
            <w:noWrap w:val="0"/>
            <w:vAlign w:val="top"/>
          </w:tcPr>
          <w:p w14:paraId="70202BFE">
            <w:pPr>
              <w:jc w:val="center"/>
              <w:rPr>
                <w:rFonts w:ascii="方正仿宋_GBK" w:hAnsi="方正仿宋_GBK" w:eastAsia="方正仿宋_GBK" w:cs="方正仿宋_GBK"/>
                <w:sz w:val="21"/>
                <w:szCs w:val="21"/>
                <w:lang w:val="en-US" w:eastAsia="zh-CN"/>
              </w:rPr>
            </w:pPr>
            <w:r>
              <w:rPr>
                <w:rFonts w:ascii="仿宋_GB2312" w:hAnsi="宋体" w:eastAsia="仿宋_GB2312" w:cs="仿宋_GB2312"/>
                <w:i w:val="0"/>
                <w:color w:val="000000"/>
                <w:sz w:val="30"/>
                <w:szCs w:val="30"/>
                <w:u w:val="none"/>
                <w:lang w:val="en-US" w:eastAsia="zh-CN" w:bidi="ar"/>
              </w:rPr>
              <w:t>379.01</w:t>
            </w:r>
          </w:p>
        </w:tc>
      </w:tr>
      <w:tr w14:paraId="36385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1800" w:type="dxa"/>
            <w:noWrap w:val="0"/>
            <w:vAlign w:val="top"/>
          </w:tcPr>
          <w:p w14:paraId="1C73C803">
            <w:pPr>
              <w:rPr>
                <w:rFonts w:hint="eastAsia" w:ascii="方正仿宋_GBK" w:hAnsi="方正仿宋_GBK" w:eastAsia="方正仿宋_GBK" w:cs="方正仿宋_GBK"/>
                <w:sz w:val="21"/>
                <w:szCs w:val="21"/>
              </w:rPr>
            </w:pPr>
          </w:p>
          <w:p w14:paraId="28F76A3F">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年度总体目标</w:t>
            </w:r>
          </w:p>
        </w:tc>
        <w:tc>
          <w:tcPr>
            <w:tcW w:w="8813" w:type="dxa"/>
            <w:gridSpan w:val="4"/>
            <w:noWrap w:val="0"/>
            <w:vAlign w:val="top"/>
          </w:tcPr>
          <w:p w14:paraId="693E6D81">
            <w:pP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向符合享受抚恤待遇条件的重点优抚对象发放抚恤补助，通过发放优抚对象补助经费，使优抚对象等人员的基本生活得到有效保障。</w:t>
            </w:r>
          </w:p>
        </w:tc>
      </w:tr>
      <w:tr w14:paraId="1E488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800" w:type="dxa"/>
            <w:vMerge w:val="restart"/>
            <w:noWrap w:val="0"/>
            <w:vAlign w:val="top"/>
          </w:tcPr>
          <w:p w14:paraId="41E3F3D9">
            <w:pPr>
              <w:jc w:val="both"/>
              <w:rPr>
                <w:rFonts w:hint="eastAsia" w:ascii="方正仿宋_GBK" w:hAnsi="方正仿宋_GBK" w:eastAsia="方正仿宋_GBK" w:cs="方正仿宋_GBK"/>
                <w:sz w:val="21"/>
                <w:szCs w:val="21"/>
              </w:rPr>
            </w:pPr>
          </w:p>
          <w:p w14:paraId="403DA4C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绩</w:t>
            </w:r>
          </w:p>
          <w:p w14:paraId="0B60B8F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效</w:t>
            </w:r>
          </w:p>
          <w:p w14:paraId="01B1A82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目</w:t>
            </w:r>
          </w:p>
          <w:p w14:paraId="3D143EB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标</w:t>
            </w:r>
          </w:p>
        </w:tc>
        <w:tc>
          <w:tcPr>
            <w:tcW w:w="1087" w:type="dxa"/>
            <w:noWrap w:val="0"/>
            <w:vAlign w:val="top"/>
          </w:tcPr>
          <w:p w14:paraId="6ECA58D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一级指标</w:t>
            </w:r>
          </w:p>
        </w:tc>
        <w:tc>
          <w:tcPr>
            <w:tcW w:w="1793" w:type="dxa"/>
            <w:noWrap w:val="0"/>
            <w:vAlign w:val="top"/>
          </w:tcPr>
          <w:p w14:paraId="68446C7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二级指标</w:t>
            </w:r>
          </w:p>
        </w:tc>
        <w:tc>
          <w:tcPr>
            <w:tcW w:w="3247" w:type="dxa"/>
            <w:noWrap w:val="0"/>
            <w:vAlign w:val="top"/>
          </w:tcPr>
          <w:p w14:paraId="52C4070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三</w:t>
            </w:r>
            <w:r>
              <w:rPr>
                <w:rFonts w:hint="eastAsia" w:ascii="方正仿宋_GBK" w:hAnsi="方正仿宋_GBK" w:eastAsia="方正仿宋_GBK" w:cs="方正仿宋_GBK"/>
                <w:sz w:val="21"/>
                <w:szCs w:val="21"/>
              </w:rPr>
              <w:t>级指标</w:t>
            </w:r>
          </w:p>
        </w:tc>
        <w:tc>
          <w:tcPr>
            <w:tcW w:w="2686" w:type="dxa"/>
            <w:noWrap w:val="0"/>
            <w:vAlign w:val="top"/>
          </w:tcPr>
          <w:p w14:paraId="10E1447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指标值</w:t>
            </w:r>
          </w:p>
        </w:tc>
      </w:tr>
      <w:tr w14:paraId="06961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1800" w:type="dxa"/>
            <w:vMerge w:val="continue"/>
            <w:noWrap w:val="0"/>
            <w:vAlign w:val="center"/>
          </w:tcPr>
          <w:p w14:paraId="20962C5F">
            <w:pPr>
              <w:widowControl/>
              <w:jc w:val="left"/>
              <w:rPr>
                <w:rFonts w:hint="eastAsia" w:ascii="方正仿宋_GBK" w:hAnsi="方正仿宋_GBK" w:eastAsia="方正仿宋_GBK" w:cs="方正仿宋_GBK"/>
                <w:sz w:val="21"/>
                <w:szCs w:val="21"/>
              </w:rPr>
            </w:pPr>
          </w:p>
        </w:tc>
        <w:tc>
          <w:tcPr>
            <w:tcW w:w="1087" w:type="dxa"/>
            <w:vMerge w:val="restart"/>
            <w:noWrap w:val="0"/>
            <w:vAlign w:val="top"/>
          </w:tcPr>
          <w:p w14:paraId="6A5F148F">
            <w:pPr>
              <w:jc w:val="center"/>
              <w:rPr>
                <w:rFonts w:hint="eastAsia" w:ascii="方正仿宋_GBK" w:hAnsi="方正仿宋_GBK" w:eastAsia="方正仿宋_GBK" w:cs="方正仿宋_GBK"/>
                <w:sz w:val="21"/>
                <w:szCs w:val="21"/>
              </w:rPr>
            </w:pPr>
          </w:p>
          <w:p w14:paraId="6C8D632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产出指标</w:t>
            </w:r>
          </w:p>
        </w:tc>
        <w:tc>
          <w:tcPr>
            <w:tcW w:w="1793" w:type="dxa"/>
            <w:noWrap w:val="0"/>
            <w:vAlign w:val="top"/>
          </w:tcPr>
          <w:p w14:paraId="06E42781">
            <w:pPr>
              <w:rPr>
                <w:rFonts w:hint="eastAsia" w:ascii="方正仿宋_GBK" w:hAnsi="方正仿宋_GBK" w:eastAsia="方正仿宋_GBK" w:cs="方正仿宋_GBK"/>
                <w:sz w:val="21"/>
                <w:szCs w:val="21"/>
              </w:rPr>
            </w:pPr>
          </w:p>
          <w:p w14:paraId="2F89D1C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数量指标</w:t>
            </w:r>
          </w:p>
        </w:tc>
        <w:tc>
          <w:tcPr>
            <w:tcW w:w="3247" w:type="dxa"/>
            <w:noWrap w:val="0"/>
            <w:vAlign w:val="top"/>
          </w:tcPr>
          <w:p w14:paraId="3B956222">
            <w:pPr>
              <w:jc w:val="left"/>
              <w:rPr>
                <w:rFonts w:hint="eastAsia" w:ascii="方正仿宋_GBK" w:hAnsi="方正仿宋_GBK" w:eastAsia="方正仿宋_GBK" w:cs="方正仿宋_GBK"/>
                <w:spacing w:val="-20"/>
                <w:sz w:val="21"/>
                <w:szCs w:val="21"/>
                <w:lang w:eastAsia="zh-CN"/>
              </w:rPr>
            </w:pPr>
            <w:r>
              <w:rPr>
                <w:rFonts w:hint="eastAsia" w:ascii="方正仿宋_GBK" w:hAnsi="方正仿宋_GBK" w:eastAsia="方正仿宋_GBK" w:cs="方正仿宋_GBK"/>
                <w:sz w:val="21"/>
                <w:szCs w:val="21"/>
                <w:lang w:eastAsia="zh-CN"/>
              </w:rPr>
              <w:t>指标</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lang w:eastAsia="zh-CN"/>
              </w:rPr>
              <w:t>符合领取抚恤补助的重点优抚对象人数</w:t>
            </w:r>
          </w:p>
        </w:tc>
        <w:tc>
          <w:tcPr>
            <w:tcW w:w="2686" w:type="dxa"/>
            <w:noWrap w:val="0"/>
            <w:vAlign w:val="top"/>
          </w:tcPr>
          <w:p w14:paraId="6FC0D77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残疾军人、三属、在乡老复员军人、带病回乡退伍军人、参战退役人员</w:t>
            </w:r>
            <w:r>
              <w:rPr>
                <w:rFonts w:hint="eastAsia" w:ascii="方正仿宋_GBK" w:hAnsi="方正仿宋_GBK" w:eastAsia="方正仿宋_GBK" w:cs="方正仿宋_GBK"/>
                <w:sz w:val="21"/>
                <w:szCs w:val="21"/>
                <w:lang w:eastAsia="zh-CN"/>
              </w:rPr>
              <w:t>等各类优抚对象</w:t>
            </w:r>
            <w:r>
              <w:rPr>
                <w:rFonts w:hint="eastAsia" w:ascii="方正仿宋_GBK" w:hAnsi="方正仿宋_GBK" w:eastAsia="方正仿宋_GBK" w:cs="方正仿宋_GBK"/>
                <w:sz w:val="21"/>
                <w:szCs w:val="21"/>
                <w:lang w:val="en-US" w:eastAsia="zh-CN"/>
              </w:rPr>
              <w:t>702</w:t>
            </w:r>
            <w:r>
              <w:rPr>
                <w:rFonts w:hint="eastAsia" w:ascii="方正仿宋_GBK" w:hAnsi="方正仿宋_GBK" w:eastAsia="方正仿宋_GBK" w:cs="方正仿宋_GBK"/>
                <w:sz w:val="21"/>
                <w:szCs w:val="21"/>
              </w:rPr>
              <w:t>人。</w:t>
            </w:r>
          </w:p>
        </w:tc>
      </w:tr>
      <w:tr w14:paraId="3A8D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800" w:type="dxa"/>
            <w:vMerge w:val="continue"/>
            <w:noWrap w:val="0"/>
            <w:vAlign w:val="center"/>
          </w:tcPr>
          <w:p w14:paraId="1320F51B">
            <w:pPr>
              <w:widowControl/>
              <w:jc w:val="left"/>
              <w:rPr>
                <w:rFonts w:hint="eastAsia" w:ascii="方正仿宋_GBK" w:hAnsi="方正仿宋_GBK" w:eastAsia="方正仿宋_GBK" w:cs="方正仿宋_GBK"/>
                <w:sz w:val="21"/>
                <w:szCs w:val="21"/>
              </w:rPr>
            </w:pPr>
          </w:p>
        </w:tc>
        <w:tc>
          <w:tcPr>
            <w:tcW w:w="1087" w:type="dxa"/>
            <w:vMerge w:val="continue"/>
            <w:noWrap w:val="0"/>
            <w:vAlign w:val="center"/>
          </w:tcPr>
          <w:p w14:paraId="026D4ECC">
            <w:pPr>
              <w:widowControl/>
              <w:jc w:val="left"/>
              <w:rPr>
                <w:rFonts w:hint="eastAsia" w:ascii="方正仿宋_GBK" w:hAnsi="方正仿宋_GBK" w:eastAsia="方正仿宋_GBK" w:cs="方正仿宋_GBK"/>
                <w:sz w:val="21"/>
                <w:szCs w:val="21"/>
              </w:rPr>
            </w:pPr>
          </w:p>
        </w:tc>
        <w:tc>
          <w:tcPr>
            <w:tcW w:w="1793" w:type="dxa"/>
            <w:vMerge w:val="restart"/>
            <w:noWrap w:val="0"/>
            <w:vAlign w:val="top"/>
          </w:tcPr>
          <w:p w14:paraId="38636CF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质量指标</w:t>
            </w:r>
          </w:p>
        </w:tc>
        <w:tc>
          <w:tcPr>
            <w:tcW w:w="3247" w:type="dxa"/>
            <w:noWrap w:val="0"/>
            <w:vAlign w:val="top"/>
          </w:tcPr>
          <w:p w14:paraId="50D01A9D">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目标</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lang w:eastAsia="zh-CN"/>
              </w:rPr>
              <w:t>经费足额拨付率</w:t>
            </w:r>
            <w:r>
              <w:rPr>
                <w:rFonts w:hint="eastAsia" w:ascii="方正仿宋_GBK" w:hAnsi="方正仿宋_GBK" w:eastAsia="方正仿宋_GBK" w:cs="方正仿宋_GBK"/>
                <w:sz w:val="21"/>
                <w:szCs w:val="21"/>
              </w:rPr>
              <w:t>。</w:t>
            </w:r>
          </w:p>
        </w:tc>
        <w:tc>
          <w:tcPr>
            <w:tcW w:w="2686" w:type="dxa"/>
            <w:noWrap w:val="0"/>
            <w:vAlign w:val="top"/>
          </w:tcPr>
          <w:p w14:paraId="7F825B7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r>
      <w:tr w14:paraId="49DB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800" w:type="dxa"/>
            <w:vMerge w:val="continue"/>
            <w:noWrap w:val="0"/>
            <w:vAlign w:val="center"/>
          </w:tcPr>
          <w:p w14:paraId="25AB42D7">
            <w:pPr>
              <w:widowControl/>
              <w:jc w:val="left"/>
              <w:rPr>
                <w:rFonts w:hint="eastAsia" w:ascii="方正仿宋_GBK" w:hAnsi="方正仿宋_GBK" w:eastAsia="方正仿宋_GBK" w:cs="方正仿宋_GBK"/>
                <w:sz w:val="21"/>
                <w:szCs w:val="21"/>
              </w:rPr>
            </w:pPr>
          </w:p>
        </w:tc>
        <w:tc>
          <w:tcPr>
            <w:tcW w:w="1087" w:type="dxa"/>
            <w:vMerge w:val="continue"/>
            <w:noWrap w:val="0"/>
            <w:vAlign w:val="center"/>
          </w:tcPr>
          <w:p w14:paraId="38C33CBD">
            <w:pPr>
              <w:widowControl/>
              <w:jc w:val="left"/>
              <w:rPr>
                <w:rFonts w:hint="eastAsia" w:ascii="方正仿宋_GBK" w:hAnsi="方正仿宋_GBK" w:eastAsia="方正仿宋_GBK" w:cs="方正仿宋_GBK"/>
                <w:sz w:val="21"/>
                <w:szCs w:val="21"/>
              </w:rPr>
            </w:pPr>
          </w:p>
        </w:tc>
        <w:tc>
          <w:tcPr>
            <w:tcW w:w="1793" w:type="dxa"/>
            <w:vMerge w:val="continue"/>
            <w:noWrap w:val="0"/>
            <w:vAlign w:val="top"/>
          </w:tcPr>
          <w:p w14:paraId="5F296441">
            <w:pPr>
              <w:jc w:val="center"/>
              <w:rPr>
                <w:rFonts w:hint="eastAsia" w:ascii="方正仿宋_GBK" w:hAnsi="方正仿宋_GBK" w:eastAsia="方正仿宋_GBK" w:cs="方正仿宋_GBK"/>
                <w:sz w:val="21"/>
                <w:szCs w:val="21"/>
              </w:rPr>
            </w:pPr>
          </w:p>
        </w:tc>
        <w:tc>
          <w:tcPr>
            <w:tcW w:w="3247" w:type="dxa"/>
            <w:noWrap w:val="0"/>
            <w:vAlign w:val="top"/>
          </w:tcPr>
          <w:p w14:paraId="0912AAF2">
            <w:pPr>
              <w:jc w:val="lef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目标</w:t>
            </w:r>
            <w:r>
              <w:rPr>
                <w:rFonts w:hint="eastAsia" w:ascii="方正仿宋_GBK" w:hAnsi="方正仿宋_GBK" w:eastAsia="方正仿宋_GBK" w:cs="方正仿宋_GBK"/>
                <w:sz w:val="21"/>
                <w:szCs w:val="21"/>
                <w:lang w:val="en-US" w:eastAsia="zh-CN"/>
              </w:rPr>
              <w:t>2.各类</w:t>
            </w:r>
            <w:r>
              <w:rPr>
                <w:rFonts w:hint="eastAsia" w:ascii="方正仿宋_GBK" w:hAnsi="方正仿宋_GBK" w:eastAsia="方正仿宋_GBK" w:cs="方正仿宋_GBK"/>
                <w:sz w:val="21"/>
                <w:szCs w:val="21"/>
                <w:lang w:eastAsia="zh-CN"/>
              </w:rPr>
              <w:t>优抚对象抚恤补助标准按规定执行率</w:t>
            </w:r>
          </w:p>
        </w:tc>
        <w:tc>
          <w:tcPr>
            <w:tcW w:w="2686" w:type="dxa"/>
            <w:noWrap w:val="0"/>
            <w:vAlign w:val="top"/>
          </w:tcPr>
          <w:p w14:paraId="2A3CCEB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r>
      <w:tr w14:paraId="164A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800" w:type="dxa"/>
            <w:vMerge w:val="continue"/>
            <w:noWrap w:val="0"/>
            <w:vAlign w:val="center"/>
          </w:tcPr>
          <w:p w14:paraId="6FE99D65">
            <w:pPr>
              <w:widowControl/>
              <w:jc w:val="left"/>
              <w:rPr>
                <w:rFonts w:hint="eastAsia" w:ascii="方正仿宋_GBK" w:hAnsi="方正仿宋_GBK" w:eastAsia="方正仿宋_GBK" w:cs="方正仿宋_GBK"/>
                <w:sz w:val="21"/>
                <w:szCs w:val="21"/>
              </w:rPr>
            </w:pPr>
          </w:p>
        </w:tc>
        <w:tc>
          <w:tcPr>
            <w:tcW w:w="1087" w:type="dxa"/>
            <w:vMerge w:val="continue"/>
            <w:noWrap w:val="0"/>
            <w:vAlign w:val="center"/>
          </w:tcPr>
          <w:p w14:paraId="0144ADB5">
            <w:pPr>
              <w:jc w:val="left"/>
              <w:rPr>
                <w:rFonts w:hint="eastAsia" w:ascii="方正仿宋_GBK" w:hAnsi="方正仿宋_GBK" w:eastAsia="方正仿宋_GBK" w:cs="方正仿宋_GBK"/>
                <w:sz w:val="21"/>
                <w:szCs w:val="21"/>
              </w:rPr>
            </w:pPr>
          </w:p>
        </w:tc>
        <w:tc>
          <w:tcPr>
            <w:tcW w:w="1793" w:type="dxa"/>
            <w:noWrap w:val="0"/>
            <w:vAlign w:val="top"/>
          </w:tcPr>
          <w:p w14:paraId="592C2CB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时效指标</w:t>
            </w:r>
          </w:p>
        </w:tc>
        <w:tc>
          <w:tcPr>
            <w:tcW w:w="3247" w:type="dxa"/>
            <w:noWrap w:val="0"/>
            <w:vAlign w:val="top"/>
          </w:tcPr>
          <w:p w14:paraId="4B2C1B59">
            <w:pPr>
              <w:jc w:val="lef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pacing w:val="-20"/>
                <w:sz w:val="21"/>
                <w:szCs w:val="21"/>
              </w:rPr>
              <w:t>优抚</w:t>
            </w:r>
            <w:r>
              <w:rPr>
                <w:rFonts w:hint="eastAsia" w:ascii="方正仿宋_GBK" w:hAnsi="方正仿宋_GBK" w:eastAsia="方正仿宋_GBK" w:cs="方正仿宋_GBK"/>
                <w:spacing w:val="-20"/>
                <w:sz w:val="21"/>
                <w:szCs w:val="21"/>
                <w:lang w:eastAsia="zh-CN"/>
              </w:rPr>
              <w:t>对象抚恤补助资金及时拨付率</w:t>
            </w:r>
          </w:p>
        </w:tc>
        <w:tc>
          <w:tcPr>
            <w:tcW w:w="2686" w:type="dxa"/>
            <w:noWrap w:val="0"/>
            <w:vAlign w:val="top"/>
          </w:tcPr>
          <w:p w14:paraId="478B72C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r>
      <w:tr w14:paraId="734A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1800" w:type="dxa"/>
            <w:vMerge w:val="continue"/>
            <w:noWrap w:val="0"/>
            <w:vAlign w:val="center"/>
          </w:tcPr>
          <w:p w14:paraId="6F67A933">
            <w:pPr>
              <w:widowControl/>
              <w:jc w:val="left"/>
              <w:rPr>
                <w:rFonts w:hint="eastAsia" w:ascii="方正仿宋_GBK" w:hAnsi="方正仿宋_GBK" w:eastAsia="方正仿宋_GBK" w:cs="方正仿宋_GBK"/>
                <w:sz w:val="21"/>
                <w:szCs w:val="21"/>
              </w:rPr>
            </w:pPr>
          </w:p>
        </w:tc>
        <w:tc>
          <w:tcPr>
            <w:tcW w:w="1087" w:type="dxa"/>
            <w:noWrap w:val="0"/>
            <w:vAlign w:val="top"/>
          </w:tcPr>
          <w:p w14:paraId="1A1B805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效益指标</w:t>
            </w:r>
          </w:p>
        </w:tc>
        <w:tc>
          <w:tcPr>
            <w:tcW w:w="1793" w:type="dxa"/>
            <w:noWrap w:val="0"/>
            <w:vAlign w:val="top"/>
          </w:tcPr>
          <w:p w14:paraId="38517666">
            <w:pPr>
              <w:jc w:val="center"/>
              <w:rPr>
                <w:rFonts w:hint="eastAsia" w:ascii="方正仿宋_GBK" w:hAnsi="方正仿宋_GBK" w:eastAsia="方正仿宋_GBK" w:cs="方正仿宋_GBK"/>
                <w:sz w:val="21"/>
                <w:szCs w:val="21"/>
              </w:rPr>
            </w:pPr>
          </w:p>
          <w:p w14:paraId="78D01E7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社会效益指标</w:t>
            </w:r>
          </w:p>
        </w:tc>
        <w:tc>
          <w:tcPr>
            <w:tcW w:w="3247" w:type="dxa"/>
            <w:noWrap w:val="0"/>
            <w:vAlign w:val="top"/>
          </w:tcPr>
          <w:p w14:paraId="2544DBCE">
            <w:pPr>
              <w:jc w:val="lef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优抚对象</w:t>
            </w:r>
            <w:r>
              <w:rPr>
                <w:rFonts w:hint="eastAsia" w:ascii="方正仿宋_GBK" w:hAnsi="方正仿宋_GBK" w:eastAsia="方正仿宋_GBK" w:cs="方正仿宋_GBK"/>
                <w:sz w:val="21"/>
                <w:szCs w:val="21"/>
                <w:lang w:eastAsia="zh-CN"/>
              </w:rPr>
              <w:t>生活情况</w:t>
            </w:r>
          </w:p>
        </w:tc>
        <w:tc>
          <w:tcPr>
            <w:tcW w:w="2686" w:type="dxa"/>
            <w:noWrap w:val="0"/>
            <w:vAlign w:val="top"/>
          </w:tcPr>
          <w:p w14:paraId="7AC4E21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有效改善</w:t>
            </w:r>
          </w:p>
        </w:tc>
      </w:tr>
      <w:tr w14:paraId="1B43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1800" w:type="dxa"/>
            <w:vMerge w:val="continue"/>
            <w:noWrap w:val="0"/>
            <w:vAlign w:val="center"/>
          </w:tcPr>
          <w:p w14:paraId="7A389350">
            <w:pPr>
              <w:widowControl/>
              <w:jc w:val="left"/>
              <w:rPr>
                <w:rFonts w:hint="eastAsia" w:ascii="方正仿宋_GBK" w:hAnsi="方正仿宋_GBK" w:eastAsia="方正仿宋_GBK" w:cs="方正仿宋_GBK"/>
                <w:sz w:val="21"/>
                <w:szCs w:val="21"/>
              </w:rPr>
            </w:pPr>
          </w:p>
        </w:tc>
        <w:tc>
          <w:tcPr>
            <w:tcW w:w="1087" w:type="dxa"/>
            <w:noWrap w:val="0"/>
            <w:vAlign w:val="top"/>
          </w:tcPr>
          <w:p w14:paraId="10FD2D6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满意度指标</w:t>
            </w:r>
          </w:p>
        </w:tc>
        <w:tc>
          <w:tcPr>
            <w:tcW w:w="1793" w:type="dxa"/>
            <w:noWrap w:val="0"/>
            <w:vAlign w:val="top"/>
          </w:tcPr>
          <w:p w14:paraId="4E24ED7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服务对象满意度指标</w:t>
            </w:r>
          </w:p>
        </w:tc>
        <w:tc>
          <w:tcPr>
            <w:tcW w:w="3247" w:type="dxa"/>
            <w:noWrap w:val="0"/>
            <w:vAlign w:val="top"/>
          </w:tcPr>
          <w:p w14:paraId="66C6A73F">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优抚对象满意度</w:t>
            </w:r>
          </w:p>
        </w:tc>
        <w:tc>
          <w:tcPr>
            <w:tcW w:w="2686" w:type="dxa"/>
            <w:noWrap w:val="0"/>
            <w:vAlign w:val="top"/>
          </w:tcPr>
          <w:p w14:paraId="47991913">
            <w:pPr>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90</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上</w:t>
            </w:r>
          </w:p>
        </w:tc>
      </w:tr>
    </w:tbl>
    <w:p w14:paraId="6E6A0C23">
      <w:pPr>
        <w:jc w:val="center"/>
        <w:rPr>
          <w:rFonts w:ascii="黑体" w:hAnsi="黑体" w:eastAsia="黑体"/>
          <w:sz w:val="28"/>
          <w:szCs w:val="28"/>
        </w:rPr>
      </w:pPr>
      <w:r>
        <w:rPr>
          <w:rFonts w:hint="eastAsia" w:ascii="黑体" w:hAnsi="黑体" w:eastAsia="黑体"/>
          <w:sz w:val="28"/>
          <w:szCs w:val="28"/>
        </w:rPr>
        <w:t>（20</w:t>
      </w:r>
      <w:r>
        <w:rPr>
          <w:rFonts w:hint="eastAsia" w:ascii="黑体" w:hAnsi="黑体" w:eastAsia="黑体"/>
          <w:sz w:val="28"/>
          <w:szCs w:val="28"/>
          <w:lang w:val="en-US" w:eastAsia="zh-CN"/>
        </w:rPr>
        <w:t>21</w:t>
      </w:r>
      <w:r>
        <w:rPr>
          <w:rFonts w:hint="eastAsia" w:ascii="黑体" w:hAnsi="黑体" w:eastAsia="黑体"/>
          <w:sz w:val="28"/>
          <w:szCs w:val="28"/>
        </w:rPr>
        <w:t>年度）</w:t>
      </w:r>
    </w:p>
    <w:p w14:paraId="4D0739C5">
      <w:pPr>
        <w:rPr>
          <w:rFonts w:hint="eastAsia"/>
        </w:rPr>
      </w:pPr>
    </w:p>
    <w:p w14:paraId="640C43BF">
      <w:pPr>
        <w:keepNext w:val="0"/>
        <w:keepLines w:val="0"/>
        <w:widowControl/>
        <w:suppressLineNumbers w:val="0"/>
        <w:jc w:val="left"/>
        <w:rPr>
          <w:rFonts w:ascii="宋体" w:hAnsi="宋体" w:eastAsia="宋体" w:cs="宋体"/>
          <w:i w:val="0"/>
          <w:color w:val="000000"/>
          <w:sz w:val="20"/>
          <w:szCs w:val="20"/>
          <w:u w:val="none"/>
          <w:lang w:val="en-US" w:eastAsia="zh-CN" w:bidi="ar"/>
        </w:rPr>
      </w:pPr>
    </w:p>
    <w:sectPr>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s>
  <w:rsids>
    <w:rsidRoot w:val="00000000"/>
    <w:rsid w:val="64C657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0"/>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character" w:customStyle="1" w:styleId="182">
    <w:name w:val="默认段落字体1"/>
    <w:link w:val="1"/>
    <w:semiHidden/>
    <w:qFormat/>
    <w:uiPriority w:val="0"/>
  </w:style>
  <w:style w:type="table" w:customStyle="1" w:styleId="183">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网格型1"/>
    <w:basedOn w:val="183"/>
    <w:qFormat/>
    <w:uiPriority w:val="0"/>
    <w:pPr>
      <w:widowControl w:val="0"/>
      <w:jc w:val="both"/>
    </w:p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5">
    <w:name w:val="font21"/>
    <w:basedOn w:val="182"/>
    <w:link w:val="1"/>
    <w:qFormat/>
    <w:uiPriority w:val="0"/>
    <w:rPr>
      <w:rFonts w:hint="eastAsia" w:ascii="宋体" w:hAnsi="宋体" w:eastAsia="宋体" w:cs="宋体"/>
      <w:color w:val="000000"/>
      <w:sz w:val="18"/>
      <w:szCs w:val="18"/>
      <w:u w:val="none"/>
    </w:rPr>
  </w:style>
  <w:style w:type="character" w:customStyle="1" w:styleId="186">
    <w:name w:val="font31"/>
    <w:basedOn w:val="182"/>
    <w:link w:val="1"/>
    <w:qFormat/>
    <w:uiPriority w:val="0"/>
    <w:rPr>
      <w:rFonts w:hint="eastAsia" w:ascii="宋体" w:hAnsi="宋体" w:eastAsia="宋体" w:cs="宋体"/>
      <w:color w:val="000000"/>
      <w:sz w:val="20"/>
      <w:szCs w:val="20"/>
      <w:u w:val="none"/>
    </w:rPr>
  </w:style>
  <w:style w:type="character" w:customStyle="1" w:styleId="187">
    <w:name w:val="font01"/>
    <w:basedOn w:val="182"/>
    <w:link w:val="1"/>
    <w:qFormat/>
    <w:uiPriority w:val="0"/>
    <w:rPr>
      <w:rFonts w:hint="eastAsia" w:ascii="宋体" w:hAnsi="宋体" w:eastAsia="宋体" w:cs="宋体"/>
      <w:b/>
      <w:color w:val="000000"/>
      <w:sz w:val="20"/>
      <w:szCs w:val="20"/>
      <w:u w:val="none"/>
    </w:rPr>
  </w:style>
  <w:style w:type="character" w:customStyle="1" w:styleId="188">
    <w:name w:val="font41"/>
    <w:basedOn w:val="182"/>
    <w:link w:val="1"/>
    <w:qFormat/>
    <w:uiPriority w:val="0"/>
    <w:rPr>
      <w:rFonts w:ascii="Times New Roman" w:hAnsi="Times New Roman" w:eastAsia="宋体" w:cs="Times New Roman"/>
      <w:color w:val="000000"/>
      <w:sz w:val="22"/>
      <w:szCs w:val="22"/>
      <w:u w:val="none"/>
    </w:rPr>
  </w:style>
  <w:style w:type="character" w:customStyle="1" w:styleId="189">
    <w:name w:val="font71"/>
    <w:basedOn w:val="182"/>
    <w:link w:val="1"/>
    <w:qFormat/>
    <w:uiPriority w:val="0"/>
    <w:rPr>
      <w:rFonts w:hint="eastAsia" w:ascii="宋体" w:hAnsi="宋体" w:eastAsia="宋体" w:cs="宋体"/>
      <w:color w:val="000000"/>
      <w:sz w:val="28"/>
      <w:szCs w:val="28"/>
      <w:u w:val="none"/>
    </w:rPr>
  </w:style>
  <w:style w:type="character" w:customStyle="1" w:styleId="190">
    <w:name w:val="font11"/>
    <w:basedOn w:val="182"/>
    <w:link w:val="1"/>
    <w:qFormat/>
    <w:uiPriority w:val="0"/>
    <w:rPr>
      <w:rFonts w:ascii="仿宋_GB2312" w:hAnsi="Times New Roman"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1043</Words>
  <Characters>1147</Characters>
  <TotalTime>1</TotalTime>
  <ScaleCrop>false</ScaleCrop>
  <LinksUpToDate>false</LinksUpToDate>
  <CharactersWithSpaces>1256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dc:creator>
  <cp:lastModifiedBy>WPS_1602483880</cp:lastModifiedBy>
  <dcterms:modified xsi:type="dcterms:W3CDTF">2024-11-18T07:42:27Z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363D66D367E64565ADFE58458D0D7808_12</vt:lpwstr>
  </property>
</Properties>
</file>