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6F6AF">
      <w:pPr>
        <w:spacing w:line="720" w:lineRule="exact"/>
        <w:jc w:val="center"/>
        <w:rPr>
          <w:rFonts w:hint="eastAsia" w:ascii="Times New Roman" w:hAnsi="Times New Roman" w:eastAsia="方正小标宋_GBK" w:cs="Times New Roman"/>
          <w:bCs/>
          <w:spacing w:val="0"/>
          <w:sz w:val="44"/>
          <w:szCs w:val="44"/>
          <w:lang w:eastAsia="zh-CN"/>
        </w:rPr>
      </w:pPr>
      <w:r>
        <w:rPr>
          <w:sz w:val="44"/>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M043iPxISEYfsmisX4CxcENUVV4JSXbzmH5DZW+reH9eToEz4/8ZnO5kyRBx5UYOX8FkSnjLqTIRHRGFJ8jG40ftBoxPDFtqyDmbXunaJMrdXxNO+gc5eZ23N2BKgF+ovUlYnLmF+tZBS0S27OX8cNfVj3W61roAihUhaFKv7453hU1mUKMzNpaRNMet9ReQ0ayZ0DOjqYew8PXQgy/0bq5WkYWYAdc4nKPdPRcFFPqB5c4Des6u0vTSuye0UwWfpBwXAO/ulGa1H36hikk4VuSywDiQUktGOxC/23rqb1Nhf68b0ohlDqeDeVU3Ij8rJ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WcLzVsLAKxHXTLpgRJEU9Hq8wHlDp6idWUVg8iEbLO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043iPxISEYfsmisX4CxcENUVV4JSXbzmH5DZW+reH9eToEz4/8ZnO5kyRBx5UYOX8FkSnjLqTIRHRGFJ8jG40ftBoxPDFtqyDmbXunaJMrdXxNO+gc5eZ23N2BKgF+ovUlYnLmF+tZBS0S27OX8cNfVj3W61roAihUhaFKv7453hU1mUKMzNpaRNMet9ReQ0ayZ0DOjqYew8PXQgy/0bq5WkYWYAdc4nKPdPRcFFPqB5c4Des6u0vTSuye0UwWfpBwXAO/ulGa1H36hikk4VuSywDiQUktGOxC/23rqb1Nhf68b0ohlDqeDeVU3Ij8rJ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WcLzVsLAKxHXTLpgRJEU9Hq8wHlDp6idWUVg8iEbLOnkyMxbykY2vbzCdttMISyo1CdbUP30toluqV0i1BPT/cnbhNClwelmHuEjQU2+GbA==" style="position:absolute;left:0pt;margin-left:-100.15pt;margin-top:-62pt;height:5pt;width:5pt;visibility:hidden;z-index:25166028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01ro8a4FAAAACQAADgAAAGRycy9lMm9Eb2MueG1s&#10;rVZJs6JIEL5PxPwHw6sxzSIqvmh7QkTU5wKKuF0mCiigZCmoKkT89VPo62Wm59CH8VBmVmZ9uRTk&#10;x+c/72nSukFCEc5GbemT2G7BzMM+ysJR29kbf6jtFmUg80GCMzhq15C2//zy+2+fq/wNyjjCiQ9J&#10;i4Nk9K3KR+2IsfxNEKgXwRTQTziHGTcGmKSAcZWEgk9AxdHTRJBFsS9UmPg5wR6klO/qL2P7A5H8&#10;CiAOAuRBHXtlCjP2QiUwAYyXRCOU0/aXZ7ZBAD1mBgGFrJWM2rxS9lx5EC67zSp8+QzeQgLyCHkf&#10;KYBfSeFfNaUAZTzoNygdMNAqCfoJKkUewRQH7JOHU+FVyLMjvApJ/Fdv7Ajk8FkLbzXNvzWd/n+w&#10;3uZmkRby+ZPQbmUg5Re+nOl/zbALEr7jQ+rxbiU0Pg+srtjpDm3blh+wO5kIa1HpIuu+sKfngKaI&#10;npTJ3ZtunMNBebdP7iOd9/TLsUPgfAj3ePpQBPWSmb243mn3nnM2T6oR29l1VewXu/luZryr15ki&#10;BkzDd0s3WFHrqXsqM/C+Jv7pvjE7odeDF7m7kbVlaHTwzUnO2So1Ouyi2aItDziitwkO1+6xLxE8&#10;RpETAWN5Gyi9buRIqbNcPzY52G3WkA13cCuC+iLq5rU4w0q1TtuwFkS36B3j8/E89j0lW1q+tfMM&#10;wyq0nqfokPZL8ba3yxqKTnUMcq06jU2hTGZAmnf7EYpj5VDadaWjrROzmXmfCHKXFK60iYK+6oo4&#10;SvQC6vDgdBdXlbxnGla36k7Y63dbZ+tOB1rds2sg0V+NlQsFrpZedXGXPyS5F553+pSrHTA35wO0&#10;t4cPng5ai9nWBatqK0QppfaM3ZRjUGyG9JAMit0QHwL+btu9nXzJwk6x1eaTXf1Ihwu0L3x1W7uy&#10;FjykG3KWQFOvhpmghYuHeBtXpq2Uw86aOezgnYRdhqZ65PXfS9iPwTAulnigVqLQey82s1XcT8aZ&#10;H1jOpSvFW/UgDY/KOJj3J4TuNC3Vpud1qATVRpnO84c8v7jdwKwKq9+tc2K9Iw+cBitg4blfYTeI&#10;MSKx0rtCJ87ZMRJW51hYzGsjXQyQdbCE8JzqbJyIVug8rG1mZocCbbZrgGThHrh0NbgsJH8hS8Iy&#10;LfP+ZH9Ot7rgLQYHGkvEVOJeyci18JPFYJhYBtBuW4f6EwVZerwMg/1SvG/dsVOSDguMzpkSMtvv&#10;b8JZckMoPKK93D/HqYZSYEY3r0JSVmc7BC7HHlWA0RnfrnjwgBIazulYZ273aM7skwki5THpaChW&#10;p3RW1ciKUskzdMWeqXA9Dvozpfb7N3HvJOn+6K0eB7oaL+/z036Vh7v3qTOcF2o1T/S8j/yjcwhV&#10;NHVXZhbX67tbx2f55j4mPmPrhV1jaeK7Dn9VGU7K4iAiSbP2gpe50WaSVDBJ5+X0unXkzswdj0bt&#10;VoR8HzY80EzCKqdvfCDYuUU+NMrFZqzdA5I2/3xgte7P6Vl/m57wzloe3+x3eyIfqx63vESOIXw/&#10;mhPKZhCnrUYYtQkfzc+JCW4ryl6uX12aSBQnyDdQkjwVErqThLRugI/xnjbU9F6TL0f/h1uStSpe&#10;ijx45gE4OQWcFHhKac4HHM3CdgskIa/WY+QZ+x+n6Y9BFGkgDScvpwj48CO0yH9fI7/cf86iqUIH&#10;NHodeYZojoC3FDHOnAlKR221AfqKlGQcpOn9q9uN5GK/5nOZ4Bdh0dwzEIddAcosQDhD8UZzDmcm&#10;X4IE86rxh8SvFJPHf+03/pw4uLXdqjjj8Y4UJSCw3UoWGaeUoaQoDUU+FaU3kLlCfrS4P1qyMp1g&#10;fhucJHh2T7HxZ8lXMSA4PXKqHzdRuQlkHo/96v2HMmEvJuYfCx4cj59unBZzwFaZnXsNeNO3DI9L&#10;hgP0fEq+d+ejaZwYn3fwQeIN8/6oP72+f7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BvjFe3&#10;2wAAAA8BAAAPAAAAAAAAAAEAIAAAACIAAABkcnMvZG93bnJldi54bWxQSwECFAAUAAAACACHTuJA&#10;01ro8a4FAAAACQAADgAAAAAAAAABACAAAAAqAQAAZHJzL2Uyb0RvYy54bWxQSwUGAAAAAAYABgBZ&#10;AQAASgkAAAAA&#10;">
                <v:fill on="t" focussize="0,0"/>
                <v:stroke weight="1pt" color="#41719C [3204]" miterlimit="8" joinstyle="miter"/>
                <v:imagedata o:title=""/>
                <o:lock v:ext="edit" aspectratio="f"/>
              </v:rect>
            </w:pict>
          </mc:Fallback>
        </mc:AlternateContent>
      </w:r>
      <w:r>
        <w:rPr>
          <w:rFonts w:hint="eastAsia" w:ascii="Times New Roman" w:hAnsi="Times New Roman" w:eastAsia="方正小标宋_GBK" w:cs="Times New Roman"/>
          <w:bCs/>
          <w:spacing w:val="0"/>
          <w:sz w:val="44"/>
          <w:szCs w:val="44"/>
          <w:lang w:val="en-US" w:eastAsia="zh-CN"/>
        </w:rPr>
        <w:t>梁河县财政局</w:t>
      </w:r>
      <w:r>
        <w:rPr>
          <w:rFonts w:hint="eastAsia" w:ascii="Times New Roman" w:hAnsi="Times New Roman" w:eastAsia="方正小标宋_GBK" w:cs="Times New Roman"/>
          <w:bCs/>
          <w:spacing w:val="0"/>
          <w:sz w:val="44"/>
          <w:szCs w:val="44"/>
          <w:lang w:eastAsia="zh-CN"/>
        </w:rPr>
        <w:t>关于下达2022年中央优抚</w:t>
      </w:r>
    </w:p>
    <w:p w14:paraId="3D9ABFF7">
      <w:pPr>
        <w:spacing w:line="720" w:lineRule="exact"/>
        <w:jc w:val="center"/>
        <w:rPr>
          <w:rFonts w:hint="eastAsia" w:ascii="Times New Roman" w:hAnsi="Times New Roman" w:eastAsia="方正小标宋_GBK" w:cs="Times New Roman"/>
          <w:bCs/>
          <w:spacing w:val="0"/>
          <w:sz w:val="44"/>
          <w:szCs w:val="44"/>
          <w:lang w:eastAsia="zh-CN"/>
        </w:rPr>
      </w:pPr>
      <w:r>
        <w:rPr>
          <w:rFonts w:hint="eastAsia" w:ascii="Times New Roman" w:hAnsi="Times New Roman" w:eastAsia="方正小标宋_GBK" w:cs="Times New Roman"/>
          <w:bCs/>
          <w:spacing w:val="0"/>
          <w:sz w:val="44"/>
          <w:szCs w:val="44"/>
          <w:lang w:eastAsia="zh-CN"/>
        </w:rPr>
        <w:t>对象补助经费预算（第二批）的通知</w:t>
      </w:r>
    </w:p>
    <w:p w14:paraId="093A62A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4C344B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0B81ECE7">
      <w:pPr>
        <w:pStyle w:val="14"/>
        <w:spacing w:line="58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w:t>
      </w:r>
      <w:r>
        <w:rPr>
          <w:rFonts w:hint="default" w:ascii="Times New Roman" w:hAnsi="Times New Roman" w:eastAsia="方正仿宋_GBK" w:cs="Times New Roman"/>
          <w:sz w:val="32"/>
          <w:szCs w:val="32"/>
          <w:lang w:eastAsia="zh-CN"/>
        </w:rPr>
        <w:t>据《德宏州财政局 德宏州退役军人事务局关于下达2022年中央优抚对象补助经费预算（第二批）的通知》（德财社〔202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lang w:eastAsia="zh-CN"/>
        </w:rPr>
        <w:t>号），现</w:t>
      </w:r>
      <w:r>
        <w:rPr>
          <w:rFonts w:hint="default" w:ascii="Times New Roman" w:hAnsi="Times New Roman" w:eastAsia="方正仿宋_GBK" w:cs="Times New Roman"/>
          <w:sz w:val="32"/>
          <w:szCs w:val="32"/>
          <w:lang w:val="en-US" w:eastAsia="zh-CN"/>
        </w:rPr>
        <w:t>下达你单位</w:t>
      </w:r>
      <w:r>
        <w:rPr>
          <w:rFonts w:hint="default" w:ascii="Times New Roman" w:hAnsi="Times New Roman" w:eastAsia="方正仿宋_GBK" w:cs="Times New Roman"/>
          <w:sz w:val="32"/>
          <w:szCs w:val="32"/>
          <w:lang w:eastAsia="zh-CN"/>
        </w:rPr>
        <w:t>2022年中央优抚对象补助经费（第二批）（具体金额详见附件）。现将有关事项通知如下：</w:t>
      </w:r>
    </w:p>
    <w:p w14:paraId="6EBC1726">
      <w:pPr>
        <w:pStyle w:val="14"/>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此次下达的经费主要用于两个方面：一是伤残人员（含残疾军人、伤残人民警察、伤残国家机关工作人员、伤残民兵民工）、“三红”（在乡退伍红军老战士、在乡西路红军老战士、红军失散人员）、“三属”（烈士、因公牺牲和病故军人家属）、在乡老复员军人、带病回乡退伍军人、在农村的和城镇无工作单位且家庭生活困难的参战退役人员、部分原8023部队及其他参加核试验军队退役人员，以及符合条件的农村籍退役士兵、老烈士子女（含中华人民共和国成立前错杀后被平反人员的子女）、参与铀矿开采军队退役人员等人员抚恤和生活补助支出。二是中华人民共和国成立</w:t>
      </w:r>
      <w:bookmarkStart w:id="0" w:name="_GoBack"/>
      <w:bookmarkEnd w:id="0"/>
      <w:r>
        <w:rPr>
          <w:rFonts w:hint="default" w:ascii="Times New Roman" w:hAnsi="Times New Roman" w:eastAsia="方正仿宋_GBK" w:cs="Times New Roman"/>
          <w:sz w:val="32"/>
          <w:szCs w:val="32"/>
          <w:lang w:eastAsia="zh-CN"/>
        </w:rPr>
        <w:t>前入党的农村老党员和未享受离退休待遇的城镇老党员生活补贴支出。各县市按规定的补助标准，统筹使用中央财政和中央管理的党费安排的补助资金，以及地方安排的补助资金。</w:t>
      </w:r>
    </w:p>
    <w:p w14:paraId="5D4A86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二、该指标收入列入2022年政府收支分类科目“1100248社会保障和就业共同财政事权转移支付收入”科目，</w:t>
      </w:r>
      <w:r>
        <w:rPr>
          <w:rFonts w:hint="default" w:ascii="Times New Roman" w:hAnsi="Times New Roman" w:eastAsia="方正仿宋_GBK" w:cs="Times New Roman"/>
          <w:sz w:val="32"/>
          <w:szCs w:val="32"/>
        </w:rPr>
        <w:t>支出列入“20808 抚恤”相关科目</w:t>
      </w:r>
      <w:r>
        <w:rPr>
          <w:rFonts w:hint="default" w:ascii="Times New Roman" w:hAnsi="Times New Roman" w:eastAsia="方正仿宋_GBK" w:cs="Times New Roman"/>
          <w:sz w:val="32"/>
          <w:szCs w:val="32"/>
          <w:lang w:eastAsia="zh-CN"/>
        </w:rPr>
        <w:t>（详见附件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14:paraId="2DC9CEFC">
      <w:pPr>
        <w:pStyle w:val="14"/>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三、此次下达的补助资金列入直达资金管理，直达资金标识为“01中央直达资金”，确保数据真实、帐目清晰、流向明确。同时切实加快资金支出进度。</w:t>
      </w:r>
    </w:p>
    <w:p w14:paraId="613F4E1B">
      <w:pPr>
        <w:pStyle w:val="14"/>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四、请按照《中共中央 国务院关于全面实施预算绩效管理的意见》的要求，切实提高财政资金使用效益，在组织预算执行中对照区域绩效目标做好绩效监控，确保年度绩效目标如期实现。</w:t>
      </w:r>
    </w:p>
    <w:p w14:paraId="5FD434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请单位收到文件后，于 3日内在预算管理一体化系统中挂接项目，完成挂接项目后请电话通知行财股</w:t>
      </w:r>
      <w:r>
        <w:rPr>
          <w:sz w:val="32"/>
        </w:rPr>
        <mc:AlternateContent>
          <mc:Choice Requires="wps">
            <w:drawing>
              <wp:anchor distT="0" distB="0" distL="114300" distR="114300" simplePos="0" relativeHeight="251659264" behindDoc="1" locked="0" layoutInCell="1" hidden="1" allowOverlap="1">
                <wp:simplePos x="0" y="0"/>
                <wp:positionH relativeFrom="column">
                  <wp:posOffset>-4925060</wp:posOffset>
                </wp:positionH>
                <wp:positionV relativeFrom="paragraph">
                  <wp:posOffset>-6260465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visibility:hidden;z-index:-251657216;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R14Lzdg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oHeyaUQakkRT78IM3mt360ctQEw1H1qv0xfVkEOm9v6RWnGIhOOwPCmryWkF2jmMVXl8Nq1O&#10;M/3FE4DzIV4Jq0kSaurRvUwq21+HiKBwfXBJ8YJVsllJpbLit5tL5cmeodOr/Az/Ktex4fQhXBhc&#10;M94LDGVIj1Srj5OUJ8NwtxgqiNqBoGC2lDC1BSE8+gz+4u8R9p8ySOUtWegGkAw/jKiWEVunpK7p&#10;2SQ96Rh8KINPas3QjCRtbHOPnno7DHtwfCUBe81CvGUe043isP/xBq9WWVRsRwkdt/7X386TP4YO&#10;Vkp6bAvY+LljXlCiPhuM46dyOgVszMr05GNqtH9u2Ty3mJ2+tGhTiZvG8Swm/6gexNZb/QPXxCJF&#10;hYkZjtgD76NyGYctxkXDxWKR3bBSjsVrs3Y8gaexMHaxi7aVeXye2BlJw1JlFscLIG3tcz17PV16&#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LYMzj2gAAAA8BAAAPAAAAAAAAAAEAIAAAACIAAABk&#10;cnMvZG93bnJldi54bWxQSwECFAAUAAAACACHTuJA0deC83YCAAA8BQAADgAAAAAAAAABACAAAAAp&#10;AQAAZHJzL2Uyb0RvYy54bWxQSwUGAAAAAAYABgBZAQAAEQ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（3019051）。如未按时限挂接项目导致资金无法正常使用，由各单位自行负责。</w:t>
      </w:r>
    </w:p>
    <w:p w14:paraId="4BFA5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437B4EDE">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1.2022年中央优抚对象补助经费（第二批）分配表</w:t>
      </w:r>
    </w:p>
    <w:p w14:paraId="694497AF">
      <w:pPr>
        <w:pStyle w:val="14"/>
        <w:keepNext w:val="0"/>
        <w:keepLines w:val="0"/>
        <w:pageBreakBefore w:val="0"/>
        <w:widowControl w:val="0"/>
        <w:kinsoku/>
        <w:wordWrap/>
        <w:overflowPunct/>
        <w:topLinePunct w:val="0"/>
        <w:autoSpaceDE/>
        <w:autoSpaceDN/>
        <w:bidi w:val="0"/>
        <w:adjustRightInd/>
        <w:snapToGrid/>
        <w:spacing w:line="580" w:lineRule="exact"/>
        <w:ind w:left="1700"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2.2022年中央优抚对象补助经费（第二批）绩效</w:t>
      </w:r>
      <w:r>
        <w:rPr>
          <w:rFonts w:hint="eastAsia" w:ascii="Times New Roman" w:hAnsi="Times New Roman" w:eastAsia="方正仿宋_GBK" w:cs="Times New Roman"/>
          <w:sz w:val="32"/>
          <w:szCs w:val="32"/>
          <w:lang w:eastAsia="zh-CN"/>
        </w:rPr>
        <w:t>目标表</w:t>
      </w:r>
    </w:p>
    <w:p w14:paraId="200BE9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015E0D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Times New Roman"/>
          <w:sz w:val="32"/>
          <w:szCs w:val="32"/>
          <w:lang w:val="en-US" w:eastAsia="zh-CN"/>
        </w:rPr>
      </w:pPr>
    </w:p>
    <w:p w14:paraId="0535C6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51DCC8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eastAsia="zh-CN"/>
        </w:rPr>
        <w:t>日</w:t>
      </w:r>
    </w:p>
    <w:p w14:paraId="15C3BD03">
      <w:pPr>
        <w:pStyle w:val="2"/>
        <w:rPr>
          <w:rFonts w:hint="default"/>
          <w:lang w:val="en-US" w:eastAsia="zh-CN"/>
        </w:rPr>
      </w:pPr>
    </w:p>
    <w:p w14:paraId="6D364B73">
      <w:pPr>
        <w:pStyle w:val="2"/>
        <w:rPr>
          <w:rFonts w:hint="default"/>
          <w:lang w:val="en-US" w:eastAsia="zh-CN"/>
        </w:rPr>
      </w:pPr>
    </w:p>
    <w:p w14:paraId="04F04369">
      <w:pPr>
        <w:pStyle w:val="2"/>
        <w:rPr>
          <w:rFonts w:hint="default"/>
          <w:lang w:val="en-US" w:eastAsia="zh-CN"/>
        </w:rPr>
      </w:pPr>
    </w:p>
    <w:p w14:paraId="704BF521">
      <w:pPr>
        <w:pStyle w:val="2"/>
        <w:rPr>
          <w:rFonts w:hint="default"/>
          <w:lang w:val="en-US" w:eastAsia="zh-CN"/>
        </w:rPr>
      </w:pPr>
    </w:p>
    <w:p w14:paraId="022BAD16">
      <w:pPr>
        <w:pStyle w:val="2"/>
        <w:rPr>
          <w:rFonts w:hint="default"/>
          <w:lang w:val="en-US" w:eastAsia="zh-CN"/>
        </w:rPr>
      </w:pPr>
    </w:p>
    <w:p w14:paraId="0879B65B">
      <w:pPr>
        <w:pStyle w:val="2"/>
        <w:rPr>
          <w:rFonts w:hint="default"/>
          <w:lang w:val="en-US" w:eastAsia="zh-CN"/>
        </w:rPr>
      </w:pPr>
    </w:p>
    <w:p w14:paraId="7E34CD96">
      <w:pPr>
        <w:pStyle w:val="2"/>
        <w:rPr>
          <w:rFonts w:hint="default"/>
          <w:lang w:val="en-US" w:eastAsia="zh-CN"/>
        </w:rPr>
      </w:pPr>
    </w:p>
    <w:p w14:paraId="6D38EBF1">
      <w:pPr>
        <w:pStyle w:val="2"/>
        <w:rPr>
          <w:rFonts w:hint="default"/>
          <w:lang w:val="en-US" w:eastAsia="zh-CN"/>
        </w:rPr>
      </w:pPr>
    </w:p>
    <w:p w14:paraId="10CC37DD">
      <w:pPr>
        <w:pStyle w:val="2"/>
        <w:rPr>
          <w:rFonts w:hint="default"/>
          <w:lang w:val="en-US" w:eastAsia="zh-CN"/>
        </w:rPr>
      </w:pPr>
    </w:p>
    <w:p w14:paraId="1F9738EE">
      <w:pPr>
        <w:pStyle w:val="2"/>
        <w:rPr>
          <w:rFonts w:hint="default"/>
          <w:lang w:val="en-US" w:eastAsia="zh-CN"/>
        </w:rPr>
      </w:pPr>
    </w:p>
    <w:p w14:paraId="241BEE55">
      <w:pPr>
        <w:pStyle w:val="2"/>
        <w:rPr>
          <w:rFonts w:hint="default"/>
          <w:lang w:val="en-US" w:eastAsia="zh-CN"/>
        </w:rPr>
      </w:pPr>
    </w:p>
    <w:p w14:paraId="392A6D3D">
      <w:pPr>
        <w:pStyle w:val="2"/>
        <w:rPr>
          <w:rFonts w:hint="default"/>
          <w:lang w:val="en-US" w:eastAsia="zh-CN"/>
        </w:rPr>
      </w:pPr>
    </w:p>
    <w:p w14:paraId="3FE5F89B">
      <w:pPr>
        <w:pStyle w:val="2"/>
        <w:rPr>
          <w:rFonts w:hint="default"/>
          <w:lang w:val="en-US" w:eastAsia="zh-CN"/>
        </w:rPr>
      </w:pPr>
    </w:p>
    <w:p w14:paraId="0BB207A6">
      <w:pPr>
        <w:pStyle w:val="2"/>
        <w:rPr>
          <w:rFonts w:hint="default"/>
          <w:lang w:val="en-US" w:eastAsia="zh-CN"/>
        </w:rPr>
      </w:pPr>
    </w:p>
    <w:p w14:paraId="62EC20EF">
      <w:pPr>
        <w:pStyle w:val="2"/>
        <w:ind w:left="0" w:leftChars="0" w:firstLine="0" w:firstLineChars="0"/>
        <w:rPr>
          <w:rFonts w:hint="default"/>
          <w:lang w:val="en-US" w:eastAsia="zh-CN"/>
        </w:rPr>
      </w:pPr>
    </w:p>
    <w:p w14:paraId="69372F84">
      <w:pPr>
        <w:pStyle w:val="2"/>
        <w:rPr>
          <w:rFonts w:hint="default"/>
          <w:lang w:val="en-US" w:eastAsia="zh-CN"/>
        </w:rPr>
        <w:sectPr>
          <w:pgSz w:w="11906" w:h="16838"/>
          <w:pgMar w:top="1440" w:right="1803" w:bottom="1440" w:left="1803" w:header="851" w:footer="992" w:gutter="0"/>
          <w:cols w:space="0" w:num="1"/>
          <w:rtlGutter w:val="0"/>
          <w:docGrid w:type="lines" w:linePitch="325" w:charSpace="0"/>
        </w:sectPr>
      </w:pPr>
    </w:p>
    <w:p w14:paraId="411A34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5D9720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2022年中央优抚对象补助经费（第二批）分配表</w:t>
      </w:r>
    </w:p>
    <w:p w14:paraId="53226EC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单位：万元</w:t>
      </w:r>
    </w:p>
    <w:p w14:paraId="2AE264F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207"/>
        <w:gridCol w:w="2448"/>
        <w:gridCol w:w="2462"/>
        <w:gridCol w:w="2745"/>
        <w:gridCol w:w="2915"/>
        <w:gridCol w:w="1199"/>
      </w:tblGrid>
      <w:tr w14:paraId="10B6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29AE785C">
            <w:pPr>
              <w:jc w:val="center"/>
              <w:rPr>
                <w:rFonts w:hint="eastAsia" w:ascii="仿宋_GB2312" w:hAnsi="仿宋_GB2312"/>
                <w:b/>
                <w:bCs/>
                <w:sz w:val="24"/>
                <w:szCs w:val="24"/>
                <w:lang w:eastAsia="zh-CN"/>
              </w:rPr>
            </w:pPr>
            <w:r>
              <w:rPr>
                <w:rFonts w:hint="eastAsia" w:ascii="仿宋_GB2312" w:hAnsi="仿宋_GB2312"/>
                <w:b/>
                <w:bCs/>
                <w:sz w:val="24"/>
                <w:szCs w:val="24"/>
                <w:lang w:eastAsia="zh-CN"/>
              </w:rPr>
              <w:t>单位</w:t>
            </w:r>
          </w:p>
        </w:tc>
        <w:tc>
          <w:tcPr>
            <w:tcW w:w="426" w:type="pct"/>
            <w:vMerge w:val="restart"/>
            <w:tcBorders>
              <w:top w:val="single" w:color="auto" w:sz="4" w:space="0"/>
              <w:left w:val="nil"/>
              <w:bottom w:val="single" w:color="auto" w:sz="4" w:space="0"/>
              <w:right w:val="single" w:color="auto" w:sz="4" w:space="0"/>
            </w:tcBorders>
            <w:noWrap w:val="0"/>
            <w:vAlign w:val="center"/>
          </w:tcPr>
          <w:p w14:paraId="2BECEFBD">
            <w:pPr>
              <w:jc w:val="center"/>
              <w:rPr>
                <w:rFonts w:ascii="仿宋_GB2312" w:hAnsi="仿宋_GB2312"/>
                <w:b/>
                <w:bCs/>
                <w:sz w:val="24"/>
                <w:szCs w:val="24"/>
              </w:rPr>
            </w:pPr>
            <w:r>
              <w:rPr>
                <w:rFonts w:ascii="仿宋_GB2312" w:hAnsi="仿宋_GB2312"/>
                <w:b/>
                <w:bCs/>
                <w:sz w:val="24"/>
                <w:szCs w:val="24"/>
              </w:rPr>
              <w:t>经费合计</w:t>
            </w:r>
          </w:p>
        </w:tc>
        <w:tc>
          <w:tcPr>
            <w:tcW w:w="3731" w:type="pct"/>
            <w:gridSpan w:val="4"/>
            <w:tcBorders>
              <w:top w:val="single" w:color="auto" w:sz="4" w:space="0"/>
              <w:left w:val="nil"/>
              <w:bottom w:val="single" w:color="auto" w:sz="4" w:space="0"/>
              <w:right w:val="single" w:color="auto" w:sz="4" w:space="0"/>
            </w:tcBorders>
            <w:noWrap w:val="0"/>
            <w:vAlign w:val="center"/>
          </w:tcPr>
          <w:p w14:paraId="52891CF2">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中央抚恤补助经费</w:t>
            </w:r>
            <w:r>
              <w:rPr>
                <w:rFonts w:hint="eastAsia" w:ascii="仿宋_GB2312" w:hAnsi="仿宋_GB2312" w:eastAsia="宋体" w:cs="Times New Roman"/>
                <w:b/>
                <w:bCs/>
                <w:sz w:val="24"/>
                <w:szCs w:val="24"/>
                <w:lang w:eastAsia="zh-CN"/>
              </w:rPr>
              <w:t>（政府预算功能分类科目）</w:t>
            </w:r>
          </w:p>
        </w:tc>
        <w:tc>
          <w:tcPr>
            <w:tcW w:w="423" w:type="pct"/>
            <w:vMerge w:val="restart"/>
            <w:tcBorders>
              <w:top w:val="single" w:color="auto" w:sz="4" w:space="0"/>
              <w:left w:val="nil"/>
              <w:right w:val="single" w:color="auto" w:sz="4" w:space="0"/>
            </w:tcBorders>
            <w:noWrap w:val="0"/>
            <w:vAlign w:val="center"/>
          </w:tcPr>
          <w:p w14:paraId="6B3EE097">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备注</w:t>
            </w:r>
          </w:p>
        </w:tc>
      </w:tr>
      <w:tr w14:paraId="1022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74F796A">
            <w:pPr>
              <w:jc w:val="center"/>
              <w:rPr>
                <w:rFonts w:hint="eastAsia" w:ascii="仿宋_GB2312" w:hAnsi="仿宋_GB2312"/>
                <w:sz w:val="24"/>
                <w:szCs w:val="24"/>
                <w:lang w:eastAsia="zh-CN"/>
              </w:rPr>
            </w:pPr>
          </w:p>
        </w:tc>
        <w:tc>
          <w:tcPr>
            <w:tcW w:w="426" w:type="pct"/>
            <w:vMerge w:val="continue"/>
            <w:tcBorders>
              <w:top w:val="single" w:color="auto" w:sz="4" w:space="0"/>
              <w:left w:val="nil"/>
              <w:bottom w:val="single" w:color="auto" w:sz="4" w:space="0"/>
              <w:right w:val="single" w:color="auto" w:sz="4" w:space="0"/>
            </w:tcBorders>
            <w:noWrap w:val="0"/>
            <w:vAlign w:val="center"/>
          </w:tcPr>
          <w:p w14:paraId="102772A5">
            <w:pPr>
              <w:widowControl/>
              <w:jc w:val="center"/>
              <w:rPr>
                <w:rFonts w:ascii="仿宋_GB2312" w:hAnsi="仿宋_GB2312"/>
                <w:sz w:val="24"/>
                <w:szCs w:val="24"/>
              </w:rPr>
            </w:pPr>
          </w:p>
        </w:tc>
        <w:tc>
          <w:tcPr>
            <w:tcW w:w="864" w:type="pct"/>
            <w:tcBorders>
              <w:top w:val="single" w:color="auto" w:sz="4" w:space="0"/>
              <w:left w:val="nil"/>
              <w:bottom w:val="single" w:color="auto" w:sz="4" w:space="0"/>
              <w:right w:val="single" w:color="auto" w:sz="4" w:space="0"/>
            </w:tcBorders>
            <w:noWrap w:val="0"/>
            <w:vAlign w:val="center"/>
          </w:tcPr>
          <w:p w14:paraId="0C882F04">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伤残抚恤</w:t>
            </w:r>
          </w:p>
          <w:p w14:paraId="6B713107">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（2080802伤残抚恤）</w:t>
            </w:r>
          </w:p>
        </w:tc>
        <w:tc>
          <w:tcPr>
            <w:tcW w:w="869" w:type="pct"/>
            <w:tcBorders>
              <w:top w:val="single" w:color="auto" w:sz="4" w:space="0"/>
              <w:left w:val="nil"/>
              <w:bottom w:val="single" w:color="auto" w:sz="4" w:space="0"/>
              <w:right w:val="single" w:color="auto" w:sz="4" w:space="0"/>
            </w:tcBorders>
            <w:noWrap w:val="0"/>
            <w:vAlign w:val="center"/>
          </w:tcPr>
          <w:p w14:paraId="4BB897C1">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死亡抚恤</w:t>
            </w:r>
          </w:p>
          <w:p w14:paraId="63993583">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（2080801死亡抚恤）</w:t>
            </w:r>
          </w:p>
        </w:tc>
        <w:tc>
          <w:tcPr>
            <w:tcW w:w="969" w:type="pct"/>
            <w:tcBorders>
              <w:top w:val="single" w:color="auto" w:sz="4" w:space="0"/>
              <w:left w:val="nil"/>
              <w:bottom w:val="single" w:color="auto" w:sz="4" w:space="0"/>
              <w:right w:val="single" w:color="auto" w:sz="4" w:space="0"/>
            </w:tcBorders>
            <w:noWrap w:val="0"/>
            <w:vAlign w:val="center"/>
          </w:tcPr>
          <w:p w14:paraId="15806602">
            <w:pPr>
              <w:jc w:val="center"/>
              <w:rPr>
                <w:rFonts w:hint="eastAsia" w:ascii="仿宋_GB2312" w:hAnsi="仿宋_GB2312" w:eastAsia="宋体" w:cs="Times New Roman"/>
                <w:b/>
                <w:bCs/>
                <w:sz w:val="24"/>
                <w:szCs w:val="24"/>
                <w:lang w:eastAsia="zh-CN"/>
              </w:rPr>
            </w:pPr>
            <w:r>
              <w:rPr>
                <w:rFonts w:ascii="仿宋_GB2312" w:hAnsi="仿宋_GB2312" w:eastAsia="宋体" w:cs="Times New Roman"/>
                <w:b/>
                <w:bCs/>
                <w:sz w:val="24"/>
                <w:szCs w:val="24"/>
              </w:rPr>
              <w:t>在乡复员退伍军人生活补助</w:t>
            </w:r>
            <w:r>
              <w:rPr>
                <w:rFonts w:hint="eastAsia" w:ascii="仿宋_GB2312" w:hAnsi="仿宋_GB2312" w:eastAsia="宋体" w:cs="Times New Roman"/>
                <w:b/>
                <w:bCs/>
                <w:sz w:val="24"/>
                <w:szCs w:val="24"/>
                <w:lang w:eastAsia="zh-CN"/>
              </w:rPr>
              <w:t>（2080803在乡复员退伍军人生活补助）</w:t>
            </w:r>
          </w:p>
        </w:tc>
        <w:tc>
          <w:tcPr>
            <w:tcW w:w="1028" w:type="pct"/>
            <w:tcBorders>
              <w:top w:val="single" w:color="auto" w:sz="4" w:space="0"/>
              <w:left w:val="nil"/>
              <w:bottom w:val="single" w:color="auto" w:sz="4" w:space="0"/>
              <w:right w:val="single" w:color="auto" w:sz="4" w:space="0"/>
            </w:tcBorders>
            <w:noWrap w:val="0"/>
            <w:vAlign w:val="center"/>
          </w:tcPr>
          <w:p w14:paraId="1555F657">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其他优抚支出</w:t>
            </w:r>
          </w:p>
          <w:p w14:paraId="1A0B1FE9">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（2080899其他优抚支出）</w:t>
            </w:r>
          </w:p>
        </w:tc>
        <w:tc>
          <w:tcPr>
            <w:tcW w:w="423" w:type="pct"/>
            <w:vMerge w:val="continue"/>
            <w:tcBorders>
              <w:left w:val="nil"/>
              <w:bottom w:val="single" w:color="auto" w:sz="4" w:space="0"/>
              <w:right w:val="single" w:color="auto" w:sz="4" w:space="0"/>
            </w:tcBorders>
            <w:noWrap w:val="0"/>
            <w:vAlign w:val="center"/>
          </w:tcPr>
          <w:p w14:paraId="10DBF42C">
            <w:pPr>
              <w:jc w:val="center"/>
              <w:rPr>
                <w:rFonts w:ascii="仿宋_GB2312" w:hAnsi="仿宋_GB2312" w:eastAsia="宋体" w:cs="Times New Roman"/>
                <w:sz w:val="24"/>
                <w:szCs w:val="24"/>
              </w:rPr>
            </w:pPr>
          </w:p>
        </w:tc>
      </w:tr>
      <w:tr w14:paraId="643C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14:paraId="775CC15C">
            <w:pPr>
              <w:jc w:val="center"/>
              <w:rPr>
                <w:rFonts w:hint="eastAsia" w:ascii="仿宋_GB2312" w:hAnsi="仿宋_GB2312"/>
                <w:sz w:val="24"/>
                <w:szCs w:val="24"/>
                <w:lang w:eastAsia="zh-CN"/>
              </w:rPr>
            </w:pPr>
            <w:r>
              <w:rPr>
                <w:rFonts w:hint="default" w:ascii="仿宋_GB2312" w:hAnsi="仿宋_GB2312"/>
                <w:sz w:val="24"/>
                <w:szCs w:val="24"/>
                <w:lang w:eastAsia="zh-CN"/>
              </w:rPr>
              <w:t>梁河县</w:t>
            </w:r>
            <w:r>
              <w:rPr>
                <w:rFonts w:hint="eastAsia" w:ascii="仿宋_GB2312" w:hAnsi="仿宋_GB2312"/>
                <w:sz w:val="24"/>
                <w:szCs w:val="24"/>
                <w:lang w:eastAsia="zh-CN"/>
              </w:rPr>
              <w:t>退役军人事务局</w:t>
            </w:r>
          </w:p>
        </w:tc>
        <w:tc>
          <w:tcPr>
            <w:tcW w:w="426" w:type="pct"/>
            <w:tcBorders>
              <w:top w:val="single" w:color="auto" w:sz="4" w:space="0"/>
              <w:left w:val="nil"/>
              <w:bottom w:val="single" w:color="auto" w:sz="4" w:space="0"/>
              <w:right w:val="single" w:color="auto" w:sz="4" w:space="0"/>
            </w:tcBorders>
            <w:noWrap w:val="0"/>
            <w:vAlign w:val="center"/>
          </w:tcPr>
          <w:p w14:paraId="1F70A674">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41.18</w:t>
            </w:r>
          </w:p>
        </w:tc>
        <w:tc>
          <w:tcPr>
            <w:tcW w:w="864" w:type="pct"/>
            <w:tcBorders>
              <w:top w:val="single" w:color="auto" w:sz="4" w:space="0"/>
              <w:left w:val="nil"/>
              <w:bottom w:val="single" w:color="auto" w:sz="4" w:space="0"/>
              <w:right w:val="single" w:color="auto" w:sz="4" w:space="0"/>
            </w:tcBorders>
            <w:noWrap w:val="0"/>
            <w:vAlign w:val="center"/>
          </w:tcPr>
          <w:p w14:paraId="2E23CA38">
            <w:pPr>
              <w:jc w:val="center"/>
              <w:rPr>
                <w:rFonts w:hint="default" w:ascii="仿宋_GB2312" w:hAnsi="仿宋_GB2312"/>
                <w:sz w:val="24"/>
                <w:szCs w:val="24"/>
                <w:lang w:val="en-US" w:eastAsia="zh-CN"/>
              </w:rPr>
            </w:pPr>
            <w:r>
              <w:rPr>
                <w:rFonts w:hint="eastAsia" w:ascii="仿宋_GB2312" w:hAnsi="仿宋_GB2312"/>
                <w:sz w:val="24"/>
                <w:szCs w:val="24"/>
                <w:lang w:val="en-US" w:eastAsia="zh-CN"/>
              </w:rPr>
              <w:t>10.86</w:t>
            </w:r>
          </w:p>
        </w:tc>
        <w:tc>
          <w:tcPr>
            <w:tcW w:w="869" w:type="pct"/>
            <w:tcBorders>
              <w:top w:val="single" w:color="auto" w:sz="4" w:space="0"/>
              <w:left w:val="nil"/>
              <w:bottom w:val="single" w:color="auto" w:sz="4" w:space="0"/>
              <w:right w:val="single" w:color="auto" w:sz="4" w:space="0"/>
            </w:tcBorders>
            <w:noWrap w:val="0"/>
            <w:vAlign w:val="center"/>
          </w:tcPr>
          <w:p w14:paraId="5458E8CF">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5.52</w:t>
            </w:r>
          </w:p>
        </w:tc>
        <w:tc>
          <w:tcPr>
            <w:tcW w:w="969" w:type="pct"/>
            <w:tcBorders>
              <w:top w:val="single" w:color="auto" w:sz="4" w:space="0"/>
              <w:left w:val="nil"/>
              <w:bottom w:val="single" w:color="auto" w:sz="4" w:space="0"/>
              <w:right w:val="single" w:color="auto" w:sz="4" w:space="0"/>
            </w:tcBorders>
            <w:noWrap w:val="0"/>
            <w:vAlign w:val="center"/>
          </w:tcPr>
          <w:p w14:paraId="2E0DCB8E">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11.48</w:t>
            </w:r>
          </w:p>
        </w:tc>
        <w:tc>
          <w:tcPr>
            <w:tcW w:w="1028" w:type="pct"/>
            <w:tcBorders>
              <w:top w:val="single" w:color="auto" w:sz="4" w:space="0"/>
              <w:left w:val="nil"/>
              <w:bottom w:val="single" w:color="auto" w:sz="4" w:space="0"/>
              <w:right w:val="single" w:color="auto" w:sz="4" w:space="0"/>
            </w:tcBorders>
            <w:noWrap w:val="0"/>
            <w:vAlign w:val="center"/>
          </w:tcPr>
          <w:p w14:paraId="34C83088">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rPr>
            </w:pPr>
            <w:r>
              <w:rPr>
                <w:rFonts w:hint="eastAsia" w:ascii="Times New Roman" w:hAnsi="Times New Roman" w:eastAsia="方正仿宋_GBK" w:cs="Times New Roman"/>
                <w:b w:val="0"/>
                <w:bCs/>
                <w:i w:val="0"/>
                <w:color w:val="000000"/>
                <w:kern w:val="0"/>
                <w:sz w:val="24"/>
                <w:szCs w:val="24"/>
                <w:u w:val="none"/>
                <w:lang w:val="en-US" w:eastAsia="zh-CN" w:bidi="ar"/>
              </w:rPr>
              <w:t>13.32</w:t>
            </w:r>
          </w:p>
        </w:tc>
        <w:tc>
          <w:tcPr>
            <w:tcW w:w="423" w:type="pct"/>
            <w:tcBorders>
              <w:top w:val="single" w:color="auto" w:sz="4" w:space="0"/>
              <w:left w:val="nil"/>
              <w:bottom w:val="single" w:color="auto" w:sz="4" w:space="0"/>
              <w:right w:val="single" w:color="auto" w:sz="4" w:space="0"/>
            </w:tcBorders>
            <w:noWrap w:val="0"/>
            <w:vAlign w:val="center"/>
          </w:tcPr>
          <w:p w14:paraId="2961871F">
            <w:pPr>
              <w:keepNext w:val="0"/>
              <w:keepLines w:val="0"/>
              <w:widowControl/>
              <w:suppressLineNumbers w:val="0"/>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ascii="仿宋_GB2312" w:hAnsi="仿宋_GB2312" w:eastAsia="宋体" w:cs="Times New Roman"/>
                <w:sz w:val="24"/>
                <w:szCs w:val="24"/>
              </w:rPr>
              <w:t>按</w:t>
            </w:r>
            <w:r>
              <w:rPr>
                <w:rFonts w:hint="eastAsia" w:ascii="仿宋_GB2312" w:hAnsi="仿宋_GB2312" w:eastAsia="宋体" w:cs="Times New Roman"/>
                <w:sz w:val="24"/>
                <w:szCs w:val="24"/>
                <w:lang w:eastAsia="zh-CN"/>
              </w:rPr>
              <w:t>梁河县</w:t>
            </w:r>
            <w:r>
              <w:rPr>
                <w:rFonts w:ascii="仿宋_GB2312" w:hAnsi="仿宋_GB2312" w:eastAsia="宋体" w:cs="Times New Roman"/>
                <w:sz w:val="24"/>
                <w:szCs w:val="24"/>
              </w:rPr>
              <w:t>优抚对象人数分配资金。</w:t>
            </w:r>
          </w:p>
        </w:tc>
      </w:tr>
    </w:tbl>
    <w:p w14:paraId="7C979D0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05F20B4">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1AE3122">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6FF42A54">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14:paraId="707C5A3E">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DCD4D2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2022年中央</w:t>
      </w:r>
      <w:r>
        <w:rPr>
          <w:rFonts w:hint="eastAsia" w:ascii="黑体" w:hAnsi="黑体" w:eastAsia="黑体" w:cs="黑体"/>
          <w:sz w:val="32"/>
          <w:szCs w:val="32"/>
          <w:lang w:eastAsia="zh-CN"/>
        </w:rPr>
        <w:t>优抚对象补助经费（第二批）绩效目标表</w:t>
      </w:r>
    </w:p>
    <w:p w14:paraId="03703933">
      <w:pPr>
        <w:pStyle w:val="2"/>
        <w:rPr>
          <w:rFonts w:hint="eastAsia"/>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38"/>
        <w:gridCol w:w="1503"/>
        <w:gridCol w:w="2205"/>
        <w:gridCol w:w="1948"/>
      </w:tblGrid>
      <w:tr w14:paraId="266D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vAlign w:val="center"/>
          </w:tcPr>
          <w:p w14:paraId="79433D23">
            <w:pPr>
              <w:jc w:val="center"/>
              <w:rPr>
                <w:rFonts w:hint="eastAsia"/>
              </w:rPr>
            </w:pPr>
            <w:r>
              <w:rPr>
                <w:rFonts w:hint="eastAsia"/>
              </w:rPr>
              <w:t>项目名称</w:t>
            </w:r>
          </w:p>
        </w:tc>
        <w:tc>
          <w:tcPr>
            <w:tcW w:w="4104" w:type="pct"/>
            <w:gridSpan w:val="4"/>
            <w:tcBorders>
              <w:top w:val="single" w:color="auto" w:sz="4" w:space="0"/>
              <w:left w:val="nil"/>
              <w:bottom w:val="single" w:color="auto" w:sz="4" w:space="0"/>
              <w:right w:val="single" w:color="auto" w:sz="4" w:space="0"/>
            </w:tcBorders>
            <w:vAlign w:val="center"/>
          </w:tcPr>
          <w:p w14:paraId="19423314">
            <w:pPr>
              <w:jc w:val="center"/>
              <w:rPr>
                <w:rFonts w:hint="eastAsia"/>
                <w:lang w:eastAsia="zh-CN"/>
              </w:rPr>
            </w:pPr>
            <w:r>
              <w:rPr>
                <w:rFonts w:hint="eastAsia"/>
                <w:lang w:val="en-US" w:eastAsia="zh-CN"/>
              </w:rPr>
              <w:t>2022年中央</w:t>
            </w:r>
            <w:r>
              <w:rPr>
                <w:rFonts w:hint="eastAsia"/>
              </w:rPr>
              <w:t>优抚对象补助</w:t>
            </w:r>
            <w:r>
              <w:rPr>
                <w:rFonts w:hint="eastAsia"/>
                <w:lang w:eastAsia="zh-CN"/>
              </w:rPr>
              <w:t>经费（第二批）</w:t>
            </w:r>
          </w:p>
        </w:tc>
      </w:tr>
      <w:tr w14:paraId="503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95" w:type="pct"/>
            <w:tcBorders>
              <w:top w:val="single" w:color="auto" w:sz="4" w:space="0"/>
              <w:left w:val="single" w:color="auto" w:sz="4" w:space="0"/>
              <w:bottom w:val="single" w:color="auto" w:sz="4" w:space="0"/>
              <w:right w:val="single" w:color="auto" w:sz="4" w:space="0"/>
            </w:tcBorders>
            <w:vAlign w:val="center"/>
          </w:tcPr>
          <w:p w14:paraId="445AFE12">
            <w:pPr>
              <w:jc w:val="center"/>
              <w:rPr>
                <w:rFonts w:hint="eastAsia"/>
              </w:rPr>
            </w:pPr>
            <w:r>
              <w:rPr>
                <w:rFonts w:hint="eastAsia"/>
                <w:lang w:eastAsia="zh-CN"/>
              </w:rPr>
              <w:t>项目实施</w:t>
            </w:r>
            <w:r>
              <w:rPr>
                <w:rFonts w:hint="eastAsia"/>
              </w:rPr>
              <w:t>部门</w:t>
            </w:r>
          </w:p>
        </w:tc>
        <w:tc>
          <w:tcPr>
            <w:tcW w:w="4104" w:type="pct"/>
            <w:gridSpan w:val="4"/>
            <w:tcBorders>
              <w:top w:val="single" w:color="auto" w:sz="4" w:space="0"/>
              <w:left w:val="nil"/>
              <w:bottom w:val="single" w:color="auto" w:sz="4" w:space="0"/>
              <w:right w:val="single" w:color="auto" w:sz="4" w:space="0"/>
            </w:tcBorders>
            <w:vAlign w:val="center"/>
          </w:tcPr>
          <w:p w14:paraId="38BA1260">
            <w:pPr>
              <w:jc w:val="center"/>
              <w:rPr>
                <w:rFonts w:hint="eastAsia"/>
                <w:lang w:eastAsia="zh-CN"/>
              </w:rPr>
            </w:pPr>
            <w:r>
              <w:rPr>
                <w:rFonts w:hint="eastAsia"/>
              </w:rPr>
              <w:t>德宏州</w:t>
            </w:r>
            <w:r>
              <w:rPr>
                <w:rFonts w:hint="eastAsia"/>
                <w:lang w:eastAsia="zh-CN"/>
              </w:rPr>
              <w:t>退役军人事务局</w:t>
            </w:r>
          </w:p>
        </w:tc>
      </w:tr>
      <w:tr w14:paraId="1D16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95" w:type="pct"/>
            <w:tcBorders>
              <w:top w:val="nil"/>
              <w:left w:val="single" w:color="auto" w:sz="4" w:space="0"/>
              <w:bottom w:val="single" w:color="auto" w:sz="4" w:space="0"/>
              <w:right w:val="single" w:color="auto" w:sz="4" w:space="0"/>
            </w:tcBorders>
            <w:vAlign w:val="center"/>
          </w:tcPr>
          <w:p w14:paraId="3361A80D">
            <w:pPr>
              <w:jc w:val="center"/>
              <w:rPr>
                <w:rFonts w:hint="eastAsia"/>
              </w:rPr>
            </w:pPr>
            <w:r>
              <w:rPr>
                <w:rFonts w:hint="eastAsia"/>
                <w:lang w:eastAsia="zh-CN"/>
              </w:rPr>
              <w:t>项目</w:t>
            </w:r>
            <w:r>
              <w:rPr>
                <w:rFonts w:hint="eastAsia"/>
              </w:rPr>
              <w:t>资金</w:t>
            </w:r>
          </w:p>
          <w:p w14:paraId="74F80E8C">
            <w:pPr>
              <w:jc w:val="center"/>
              <w:rPr>
                <w:rFonts w:hint="eastAsia"/>
                <w:lang w:eastAsia="zh-CN"/>
              </w:rPr>
            </w:pPr>
            <w:r>
              <w:rPr>
                <w:rFonts w:hint="eastAsia"/>
                <w:lang w:eastAsia="zh-CN"/>
              </w:rPr>
              <w:t>（万元）</w:t>
            </w:r>
          </w:p>
        </w:tc>
        <w:tc>
          <w:tcPr>
            <w:tcW w:w="4104" w:type="pct"/>
            <w:gridSpan w:val="4"/>
            <w:tcBorders>
              <w:top w:val="single" w:color="auto" w:sz="4" w:space="0"/>
              <w:left w:val="nil"/>
              <w:bottom w:val="single" w:color="auto" w:sz="4" w:space="0"/>
              <w:right w:val="single" w:color="auto" w:sz="4" w:space="0"/>
            </w:tcBorders>
            <w:vAlign w:val="center"/>
          </w:tcPr>
          <w:p w14:paraId="6ED6FA6A">
            <w:pPr>
              <w:jc w:val="center"/>
              <w:rPr>
                <w:rFonts w:hint="default"/>
                <w:lang w:val="en-US" w:eastAsia="zh-CN"/>
              </w:rPr>
            </w:pPr>
            <w:r>
              <w:rPr>
                <w:rFonts w:hint="eastAsia"/>
                <w:lang w:val="en-US" w:eastAsia="zh-CN"/>
              </w:rPr>
              <w:t>41.18</w:t>
            </w:r>
          </w:p>
        </w:tc>
      </w:tr>
      <w:tr w14:paraId="5B44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95" w:type="pct"/>
            <w:tcBorders>
              <w:top w:val="single" w:color="auto" w:sz="4" w:space="0"/>
              <w:left w:val="single" w:color="auto" w:sz="4" w:space="0"/>
              <w:bottom w:val="single" w:color="auto" w:sz="4" w:space="0"/>
              <w:right w:val="single" w:color="auto" w:sz="4" w:space="0"/>
            </w:tcBorders>
            <w:vAlign w:val="center"/>
          </w:tcPr>
          <w:p w14:paraId="3AF49000">
            <w:pPr>
              <w:jc w:val="center"/>
              <w:rPr>
                <w:rFonts w:hint="eastAsia"/>
              </w:rPr>
            </w:pPr>
          </w:p>
          <w:p w14:paraId="48442854">
            <w:pPr>
              <w:jc w:val="center"/>
              <w:rPr>
                <w:rFonts w:hint="eastAsia"/>
              </w:rPr>
            </w:pPr>
            <w:r>
              <w:rPr>
                <w:rFonts w:hint="eastAsia"/>
              </w:rPr>
              <w:t>年度总体目标</w:t>
            </w:r>
          </w:p>
          <w:p w14:paraId="39FC5C92">
            <w:pPr>
              <w:jc w:val="center"/>
              <w:rPr>
                <w:rFonts w:hint="eastAsia"/>
              </w:rPr>
            </w:pPr>
          </w:p>
        </w:tc>
        <w:tc>
          <w:tcPr>
            <w:tcW w:w="4104" w:type="pct"/>
            <w:gridSpan w:val="4"/>
            <w:tcBorders>
              <w:top w:val="single" w:color="auto" w:sz="4" w:space="0"/>
              <w:left w:val="nil"/>
              <w:bottom w:val="single" w:color="auto" w:sz="4" w:space="0"/>
              <w:right w:val="single" w:color="auto" w:sz="4" w:space="0"/>
            </w:tcBorders>
            <w:vAlign w:val="center"/>
          </w:tcPr>
          <w:p w14:paraId="7F8120A4">
            <w:pPr>
              <w:jc w:val="center"/>
              <w:rPr>
                <w:rFonts w:hint="eastAsia"/>
                <w:lang w:eastAsia="zh-CN"/>
              </w:rPr>
            </w:pPr>
          </w:p>
          <w:p w14:paraId="602B0F4E">
            <w:pPr>
              <w:jc w:val="center"/>
              <w:rPr>
                <w:rFonts w:hint="eastAsia"/>
                <w:lang w:eastAsia="zh-CN"/>
              </w:rPr>
            </w:pPr>
            <w:r>
              <w:rPr>
                <w:rFonts w:hint="eastAsia"/>
                <w:lang w:eastAsia="zh-CN"/>
              </w:rPr>
              <w:t>通过发放优抚对象补助经费，使优抚对象等人员的基本生活得到有效保障。</w:t>
            </w:r>
          </w:p>
          <w:p w14:paraId="50B0A4AE">
            <w:pPr>
              <w:jc w:val="center"/>
              <w:rPr>
                <w:rFonts w:hint="eastAsia"/>
              </w:rPr>
            </w:pPr>
          </w:p>
        </w:tc>
      </w:tr>
      <w:tr w14:paraId="5A80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95" w:type="pct"/>
            <w:vMerge w:val="restart"/>
            <w:tcBorders>
              <w:top w:val="nil"/>
              <w:left w:val="single" w:color="auto" w:sz="4" w:space="0"/>
              <w:bottom w:val="single" w:color="auto" w:sz="4" w:space="0"/>
              <w:right w:val="single" w:color="auto" w:sz="4" w:space="0"/>
            </w:tcBorders>
            <w:vAlign w:val="center"/>
          </w:tcPr>
          <w:p w14:paraId="75D39259">
            <w:pPr>
              <w:jc w:val="center"/>
              <w:rPr>
                <w:rFonts w:hint="eastAsia"/>
              </w:rPr>
            </w:pPr>
          </w:p>
          <w:p w14:paraId="7A581D9B">
            <w:pPr>
              <w:jc w:val="center"/>
              <w:rPr>
                <w:rFonts w:hint="eastAsia"/>
              </w:rPr>
            </w:pPr>
            <w:r>
              <w:rPr>
                <w:rFonts w:hint="eastAsia"/>
              </w:rPr>
              <w:t>绩</w:t>
            </w:r>
          </w:p>
          <w:p w14:paraId="041DB918">
            <w:pPr>
              <w:jc w:val="center"/>
              <w:rPr>
                <w:rFonts w:hint="eastAsia"/>
              </w:rPr>
            </w:pPr>
            <w:r>
              <w:rPr>
                <w:rFonts w:hint="eastAsia"/>
              </w:rPr>
              <w:t>效</w:t>
            </w:r>
          </w:p>
          <w:p w14:paraId="0A254CFE">
            <w:pPr>
              <w:jc w:val="center"/>
              <w:rPr>
                <w:rFonts w:hint="eastAsia"/>
              </w:rPr>
            </w:pPr>
            <w:r>
              <w:rPr>
                <w:rFonts w:hint="eastAsia"/>
              </w:rPr>
              <w:t>目</w:t>
            </w:r>
          </w:p>
          <w:p w14:paraId="163BF207">
            <w:pPr>
              <w:jc w:val="center"/>
              <w:rPr>
                <w:rFonts w:hint="eastAsia"/>
              </w:rPr>
            </w:pPr>
            <w:r>
              <w:rPr>
                <w:rFonts w:hint="eastAsia"/>
              </w:rPr>
              <w:t>标</w:t>
            </w:r>
          </w:p>
        </w:tc>
        <w:tc>
          <w:tcPr>
            <w:tcW w:w="785" w:type="pct"/>
            <w:tcBorders>
              <w:top w:val="single" w:color="auto" w:sz="4" w:space="0"/>
              <w:left w:val="nil"/>
              <w:bottom w:val="single" w:color="auto" w:sz="4" w:space="0"/>
              <w:right w:val="single" w:color="auto" w:sz="4" w:space="0"/>
            </w:tcBorders>
            <w:vAlign w:val="center"/>
          </w:tcPr>
          <w:p w14:paraId="2ECCBF8E">
            <w:pPr>
              <w:jc w:val="center"/>
              <w:rPr>
                <w:rFonts w:hint="eastAsia"/>
              </w:rPr>
            </w:pPr>
            <w:r>
              <w:rPr>
                <w:rFonts w:hint="eastAsia"/>
              </w:rPr>
              <w:t>一级指标</w:t>
            </w:r>
          </w:p>
        </w:tc>
        <w:tc>
          <w:tcPr>
            <w:tcW w:w="882" w:type="pct"/>
            <w:tcBorders>
              <w:top w:val="single" w:color="auto" w:sz="4" w:space="0"/>
              <w:left w:val="nil"/>
              <w:bottom w:val="single" w:color="auto" w:sz="4" w:space="0"/>
              <w:right w:val="single" w:color="auto" w:sz="4" w:space="0"/>
            </w:tcBorders>
            <w:vAlign w:val="center"/>
          </w:tcPr>
          <w:p w14:paraId="6DBEC122">
            <w:pPr>
              <w:jc w:val="center"/>
              <w:rPr>
                <w:rFonts w:hint="eastAsia"/>
              </w:rPr>
            </w:pPr>
            <w:r>
              <w:rPr>
                <w:rFonts w:hint="eastAsia"/>
              </w:rPr>
              <w:t>二级指标</w:t>
            </w:r>
          </w:p>
        </w:tc>
        <w:tc>
          <w:tcPr>
            <w:tcW w:w="1294" w:type="pct"/>
            <w:tcBorders>
              <w:top w:val="single" w:color="auto" w:sz="4" w:space="0"/>
              <w:left w:val="nil"/>
              <w:bottom w:val="single" w:color="auto" w:sz="4" w:space="0"/>
              <w:right w:val="single" w:color="auto" w:sz="4" w:space="0"/>
            </w:tcBorders>
            <w:vAlign w:val="center"/>
          </w:tcPr>
          <w:p w14:paraId="2249806C">
            <w:pPr>
              <w:jc w:val="center"/>
              <w:rPr>
                <w:rFonts w:hint="eastAsia"/>
              </w:rPr>
            </w:pPr>
            <w:r>
              <w:rPr>
                <w:rFonts w:hint="eastAsia"/>
              </w:rPr>
              <w:t>二级指标</w:t>
            </w:r>
          </w:p>
        </w:tc>
        <w:tc>
          <w:tcPr>
            <w:tcW w:w="1143" w:type="pct"/>
            <w:tcBorders>
              <w:top w:val="single" w:color="auto" w:sz="4" w:space="0"/>
              <w:left w:val="nil"/>
              <w:bottom w:val="single" w:color="auto" w:sz="4" w:space="0"/>
              <w:right w:val="single" w:color="auto" w:sz="4" w:space="0"/>
            </w:tcBorders>
            <w:vAlign w:val="center"/>
          </w:tcPr>
          <w:p w14:paraId="64870C3A">
            <w:pPr>
              <w:jc w:val="center"/>
              <w:rPr>
                <w:rFonts w:hint="eastAsia"/>
              </w:rPr>
            </w:pPr>
            <w:r>
              <w:rPr>
                <w:rFonts w:hint="eastAsia"/>
              </w:rPr>
              <w:t>指标值</w:t>
            </w:r>
          </w:p>
        </w:tc>
      </w:tr>
      <w:tr w14:paraId="4DA2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895" w:type="pct"/>
            <w:vMerge w:val="continue"/>
            <w:tcBorders>
              <w:top w:val="nil"/>
              <w:left w:val="single" w:color="auto" w:sz="4" w:space="0"/>
              <w:bottom w:val="single" w:color="auto" w:sz="4" w:space="0"/>
              <w:right w:val="single" w:color="auto" w:sz="4" w:space="0"/>
            </w:tcBorders>
            <w:vAlign w:val="center"/>
          </w:tcPr>
          <w:p w14:paraId="05826A23">
            <w:pPr>
              <w:jc w:val="center"/>
              <w:rPr>
                <w:rFonts w:hint="eastAsia"/>
              </w:rPr>
            </w:pPr>
          </w:p>
        </w:tc>
        <w:tc>
          <w:tcPr>
            <w:tcW w:w="785" w:type="pct"/>
            <w:vMerge w:val="restart"/>
            <w:tcBorders>
              <w:top w:val="nil"/>
              <w:left w:val="nil"/>
              <w:bottom w:val="single" w:color="auto" w:sz="4" w:space="0"/>
              <w:right w:val="single" w:color="auto" w:sz="4" w:space="0"/>
            </w:tcBorders>
            <w:vAlign w:val="center"/>
          </w:tcPr>
          <w:p w14:paraId="274A9D17">
            <w:pPr>
              <w:jc w:val="center"/>
              <w:rPr>
                <w:rFonts w:hint="eastAsia"/>
              </w:rPr>
            </w:pPr>
          </w:p>
          <w:p w14:paraId="42217C92">
            <w:pPr>
              <w:jc w:val="center"/>
              <w:rPr>
                <w:rFonts w:hint="eastAsia"/>
              </w:rPr>
            </w:pPr>
            <w:r>
              <w:rPr>
                <w:rFonts w:hint="eastAsia"/>
              </w:rPr>
              <w:t>产出指标</w:t>
            </w:r>
          </w:p>
        </w:tc>
        <w:tc>
          <w:tcPr>
            <w:tcW w:w="882" w:type="pct"/>
            <w:tcBorders>
              <w:top w:val="nil"/>
              <w:left w:val="nil"/>
              <w:bottom w:val="single" w:color="auto" w:sz="4" w:space="0"/>
              <w:right w:val="single" w:color="auto" w:sz="4" w:space="0"/>
            </w:tcBorders>
            <w:vAlign w:val="center"/>
          </w:tcPr>
          <w:p w14:paraId="79C65A1F">
            <w:pPr>
              <w:jc w:val="center"/>
              <w:rPr>
                <w:rFonts w:hint="eastAsia"/>
              </w:rPr>
            </w:pPr>
            <w:r>
              <w:rPr>
                <w:rFonts w:hint="eastAsia"/>
              </w:rPr>
              <w:t>数量指标</w:t>
            </w:r>
          </w:p>
        </w:tc>
        <w:tc>
          <w:tcPr>
            <w:tcW w:w="1294" w:type="pct"/>
            <w:tcBorders>
              <w:top w:val="single" w:color="auto" w:sz="4" w:space="0"/>
              <w:left w:val="nil"/>
              <w:right w:val="single" w:color="auto" w:sz="4" w:space="0"/>
            </w:tcBorders>
            <w:vAlign w:val="center"/>
          </w:tcPr>
          <w:p w14:paraId="20664E63">
            <w:pPr>
              <w:jc w:val="center"/>
              <w:rPr>
                <w:rFonts w:hint="eastAsia"/>
              </w:rPr>
            </w:pPr>
            <w:r>
              <w:rPr>
                <w:rFonts w:hint="eastAsia"/>
              </w:rPr>
              <w:t>优抚对象</w:t>
            </w:r>
            <w:r>
              <w:rPr>
                <w:rFonts w:hint="eastAsia"/>
                <w:lang w:eastAsia="zh-CN"/>
              </w:rPr>
              <w:t>补助经费发放</w:t>
            </w:r>
            <w:r>
              <w:rPr>
                <w:rFonts w:hint="eastAsia"/>
              </w:rPr>
              <w:t>人数</w:t>
            </w:r>
          </w:p>
        </w:tc>
        <w:tc>
          <w:tcPr>
            <w:tcW w:w="1143" w:type="pct"/>
            <w:tcBorders>
              <w:top w:val="single" w:color="auto" w:sz="4" w:space="0"/>
              <w:left w:val="nil"/>
              <w:bottom w:val="single" w:color="auto" w:sz="4" w:space="0"/>
              <w:right w:val="single" w:color="auto" w:sz="4" w:space="0"/>
            </w:tcBorders>
            <w:vAlign w:val="center"/>
          </w:tcPr>
          <w:p w14:paraId="0267F1BB">
            <w:pPr>
              <w:jc w:val="center"/>
              <w:rPr>
                <w:rFonts w:hint="eastAsia"/>
              </w:rPr>
            </w:pPr>
            <w:r>
              <w:rPr>
                <w:rFonts w:hint="eastAsia"/>
              </w:rPr>
              <w:t>残疾军人、三属、在乡老复员军人、带病回乡退伍军人、参战退役人员等各类优抚对象</w:t>
            </w:r>
            <w:r>
              <w:rPr>
                <w:rFonts w:hint="eastAsia"/>
                <w:lang w:val="en-US" w:eastAsia="zh-CN"/>
              </w:rPr>
              <w:t xml:space="preserve">  </w:t>
            </w:r>
            <w:r>
              <w:rPr>
                <w:rFonts w:hint="eastAsia"/>
              </w:rPr>
              <w:t>人。</w:t>
            </w:r>
          </w:p>
        </w:tc>
      </w:tr>
      <w:tr w14:paraId="0781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pct"/>
            <w:vMerge w:val="continue"/>
            <w:tcBorders>
              <w:top w:val="nil"/>
              <w:left w:val="single" w:color="auto" w:sz="4" w:space="0"/>
              <w:bottom w:val="single" w:color="auto" w:sz="4" w:space="0"/>
              <w:right w:val="single" w:color="auto" w:sz="4" w:space="0"/>
            </w:tcBorders>
            <w:vAlign w:val="center"/>
          </w:tcPr>
          <w:p w14:paraId="2B9496E5">
            <w:pPr>
              <w:jc w:val="center"/>
              <w:rPr>
                <w:rFonts w:hint="eastAsia"/>
              </w:rPr>
            </w:pPr>
          </w:p>
        </w:tc>
        <w:tc>
          <w:tcPr>
            <w:tcW w:w="785" w:type="pct"/>
            <w:vMerge w:val="continue"/>
            <w:tcBorders>
              <w:top w:val="nil"/>
              <w:left w:val="nil"/>
              <w:bottom w:val="single" w:color="auto" w:sz="4" w:space="0"/>
              <w:right w:val="single" w:color="auto" w:sz="4" w:space="0"/>
            </w:tcBorders>
            <w:vAlign w:val="center"/>
          </w:tcPr>
          <w:p w14:paraId="4F288E85">
            <w:pPr>
              <w:jc w:val="center"/>
              <w:rPr>
                <w:rFonts w:hint="eastAsia"/>
              </w:rPr>
            </w:pPr>
          </w:p>
        </w:tc>
        <w:tc>
          <w:tcPr>
            <w:tcW w:w="882" w:type="pct"/>
            <w:vMerge w:val="restart"/>
            <w:tcBorders>
              <w:top w:val="nil"/>
              <w:left w:val="nil"/>
              <w:bottom w:val="single" w:color="auto" w:sz="4" w:space="0"/>
              <w:right w:val="single" w:color="auto" w:sz="4" w:space="0"/>
            </w:tcBorders>
            <w:vAlign w:val="center"/>
          </w:tcPr>
          <w:p w14:paraId="27C0DB47">
            <w:pPr>
              <w:jc w:val="center"/>
              <w:rPr>
                <w:rFonts w:hint="eastAsia"/>
              </w:rPr>
            </w:pPr>
            <w:r>
              <w:rPr>
                <w:rFonts w:hint="eastAsia"/>
              </w:rPr>
              <w:t>质量指标</w:t>
            </w:r>
          </w:p>
        </w:tc>
        <w:tc>
          <w:tcPr>
            <w:tcW w:w="1294" w:type="pct"/>
            <w:tcBorders>
              <w:top w:val="single" w:color="auto" w:sz="4" w:space="0"/>
              <w:left w:val="nil"/>
              <w:bottom w:val="single" w:color="auto" w:sz="4" w:space="0"/>
              <w:right w:val="single" w:color="auto" w:sz="4" w:space="0"/>
            </w:tcBorders>
            <w:vAlign w:val="center"/>
          </w:tcPr>
          <w:p w14:paraId="4925592A">
            <w:pPr>
              <w:jc w:val="center"/>
              <w:rPr>
                <w:rFonts w:hint="eastAsia"/>
              </w:rPr>
            </w:pPr>
            <w:r>
              <w:rPr>
                <w:rFonts w:hint="eastAsia"/>
                <w:lang w:eastAsia="zh-CN"/>
              </w:rPr>
              <w:t>经费足额拨付率</w:t>
            </w:r>
          </w:p>
        </w:tc>
        <w:tc>
          <w:tcPr>
            <w:tcW w:w="1143" w:type="pct"/>
            <w:tcBorders>
              <w:top w:val="single" w:color="auto" w:sz="4" w:space="0"/>
              <w:left w:val="nil"/>
              <w:bottom w:val="single" w:color="auto" w:sz="4" w:space="0"/>
              <w:right w:val="single" w:color="auto" w:sz="4" w:space="0"/>
            </w:tcBorders>
            <w:vAlign w:val="center"/>
          </w:tcPr>
          <w:p w14:paraId="66CF4F93">
            <w:pPr>
              <w:jc w:val="center"/>
              <w:rPr>
                <w:rFonts w:hint="eastAsia"/>
              </w:rPr>
            </w:pPr>
            <w:r>
              <w:rPr>
                <w:rFonts w:hint="eastAsia"/>
              </w:rPr>
              <w:t>100%</w:t>
            </w:r>
          </w:p>
        </w:tc>
      </w:tr>
      <w:tr w14:paraId="7451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95" w:type="pct"/>
            <w:vMerge w:val="continue"/>
            <w:tcBorders>
              <w:top w:val="nil"/>
              <w:left w:val="single" w:color="auto" w:sz="4" w:space="0"/>
              <w:bottom w:val="single" w:color="auto" w:sz="4" w:space="0"/>
              <w:right w:val="single" w:color="auto" w:sz="4" w:space="0"/>
            </w:tcBorders>
            <w:vAlign w:val="center"/>
          </w:tcPr>
          <w:p w14:paraId="52036E15">
            <w:pPr>
              <w:jc w:val="center"/>
              <w:rPr>
                <w:rFonts w:hint="eastAsia"/>
              </w:rPr>
            </w:pPr>
          </w:p>
        </w:tc>
        <w:tc>
          <w:tcPr>
            <w:tcW w:w="785" w:type="pct"/>
            <w:vMerge w:val="continue"/>
            <w:tcBorders>
              <w:top w:val="nil"/>
              <w:left w:val="nil"/>
              <w:bottom w:val="single" w:color="auto" w:sz="4" w:space="0"/>
              <w:right w:val="single" w:color="auto" w:sz="4" w:space="0"/>
            </w:tcBorders>
            <w:vAlign w:val="center"/>
          </w:tcPr>
          <w:p w14:paraId="0A63683C">
            <w:pPr>
              <w:jc w:val="center"/>
              <w:rPr>
                <w:rFonts w:hint="eastAsia"/>
              </w:rPr>
            </w:pPr>
          </w:p>
        </w:tc>
        <w:tc>
          <w:tcPr>
            <w:tcW w:w="882" w:type="pct"/>
            <w:vMerge w:val="continue"/>
            <w:tcBorders>
              <w:top w:val="nil"/>
              <w:left w:val="nil"/>
              <w:bottom w:val="single" w:color="auto" w:sz="4" w:space="0"/>
              <w:right w:val="single" w:color="auto" w:sz="4" w:space="0"/>
            </w:tcBorders>
            <w:vAlign w:val="center"/>
          </w:tcPr>
          <w:p w14:paraId="6AE5F440">
            <w:pPr>
              <w:jc w:val="center"/>
              <w:rPr>
                <w:rFonts w:hint="eastAsia"/>
              </w:rPr>
            </w:pPr>
          </w:p>
        </w:tc>
        <w:tc>
          <w:tcPr>
            <w:tcW w:w="1294" w:type="pct"/>
            <w:tcBorders>
              <w:top w:val="single" w:color="auto" w:sz="4" w:space="0"/>
              <w:left w:val="nil"/>
              <w:bottom w:val="single" w:color="auto" w:sz="4" w:space="0"/>
              <w:right w:val="single" w:color="auto" w:sz="4" w:space="0"/>
            </w:tcBorders>
            <w:vAlign w:val="center"/>
          </w:tcPr>
          <w:p w14:paraId="46B0797A">
            <w:pPr>
              <w:jc w:val="center"/>
              <w:rPr>
                <w:rFonts w:hint="eastAsia"/>
                <w:lang w:eastAsia="zh-CN"/>
              </w:rPr>
            </w:pPr>
            <w:r>
              <w:rPr>
                <w:rFonts w:hint="eastAsia"/>
              </w:rPr>
              <w:t>各类优抚对象抚恤补助标准按规定执行</w:t>
            </w:r>
            <w:r>
              <w:rPr>
                <w:rFonts w:hint="eastAsia"/>
                <w:lang w:eastAsia="zh-CN"/>
              </w:rPr>
              <w:t>率</w:t>
            </w:r>
          </w:p>
        </w:tc>
        <w:tc>
          <w:tcPr>
            <w:tcW w:w="1143" w:type="pct"/>
            <w:tcBorders>
              <w:top w:val="single" w:color="auto" w:sz="4" w:space="0"/>
              <w:left w:val="nil"/>
              <w:bottom w:val="single" w:color="auto" w:sz="4" w:space="0"/>
              <w:right w:val="single" w:color="auto" w:sz="4" w:space="0"/>
            </w:tcBorders>
            <w:vAlign w:val="center"/>
          </w:tcPr>
          <w:p w14:paraId="37249C09">
            <w:pPr>
              <w:jc w:val="center"/>
              <w:rPr>
                <w:rFonts w:hint="eastAsia"/>
              </w:rPr>
            </w:pPr>
            <w:r>
              <w:rPr>
                <w:rFonts w:hint="eastAsia"/>
              </w:rPr>
              <w:t>100%</w:t>
            </w:r>
          </w:p>
        </w:tc>
      </w:tr>
      <w:tr w14:paraId="7326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95" w:type="pct"/>
            <w:vMerge w:val="continue"/>
            <w:tcBorders>
              <w:top w:val="nil"/>
              <w:left w:val="single" w:color="auto" w:sz="4" w:space="0"/>
              <w:bottom w:val="single" w:color="auto" w:sz="4" w:space="0"/>
              <w:right w:val="single" w:color="auto" w:sz="4" w:space="0"/>
            </w:tcBorders>
            <w:vAlign w:val="center"/>
          </w:tcPr>
          <w:p w14:paraId="4CB6D431">
            <w:pPr>
              <w:jc w:val="center"/>
              <w:rPr>
                <w:rFonts w:hint="eastAsia"/>
              </w:rPr>
            </w:pPr>
          </w:p>
        </w:tc>
        <w:tc>
          <w:tcPr>
            <w:tcW w:w="785" w:type="pct"/>
            <w:vMerge w:val="continue"/>
            <w:tcBorders>
              <w:top w:val="nil"/>
              <w:left w:val="nil"/>
              <w:bottom w:val="single" w:color="auto" w:sz="4" w:space="0"/>
              <w:right w:val="single" w:color="auto" w:sz="4" w:space="0"/>
            </w:tcBorders>
            <w:vAlign w:val="center"/>
          </w:tcPr>
          <w:p w14:paraId="6A06D77E">
            <w:pPr>
              <w:jc w:val="center"/>
              <w:rPr>
                <w:rFonts w:hint="eastAsia"/>
              </w:rPr>
            </w:pPr>
          </w:p>
        </w:tc>
        <w:tc>
          <w:tcPr>
            <w:tcW w:w="882" w:type="pct"/>
            <w:tcBorders>
              <w:top w:val="single" w:color="auto" w:sz="4" w:space="0"/>
              <w:left w:val="nil"/>
              <w:bottom w:val="single" w:color="auto" w:sz="4" w:space="0"/>
              <w:right w:val="single" w:color="auto" w:sz="4" w:space="0"/>
            </w:tcBorders>
            <w:vAlign w:val="center"/>
          </w:tcPr>
          <w:p w14:paraId="03504BD8">
            <w:pPr>
              <w:jc w:val="center"/>
              <w:rPr>
                <w:rFonts w:hint="eastAsia"/>
              </w:rPr>
            </w:pPr>
            <w:r>
              <w:rPr>
                <w:rFonts w:hint="eastAsia"/>
              </w:rPr>
              <w:t>时效指标</w:t>
            </w:r>
          </w:p>
        </w:tc>
        <w:tc>
          <w:tcPr>
            <w:tcW w:w="1294" w:type="pct"/>
            <w:tcBorders>
              <w:top w:val="single" w:color="auto" w:sz="4" w:space="0"/>
              <w:left w:val="nil"/>
              <w:bottom w:val="single" w:color="auto" w:sz="4" w:space="0"/>
              <w:right w:val="single" w:color="auto" w:sz="4" w:space="0"/>
            </w:tcBorders>
            <w:vAlign w:val="center"/>
          </w:tcPr>
          <w:p w14:paraId="2E695F27">
            <w:pPr>
              <w:jc w:val="center"/>
              <w:rPr>
                <w:rFonts w:hint="eastAsia"/>
              </w:rPr>
            </w:pPr>
            <w:r>
              <w:rPr>
                <w:rFonts w:hint="eastAsia"/>
                <w:lang w:eastAsia="zh-CN"/>
              </w:rPr>
              <w:t>优抚对象抚恤补助经费及时拨付率</w:t>
            </w:r>
          </w:p>
        </w:tc>
        <w:tc>
          <w:tcPr>
            <w:tcW w:w="1143" w:type="pct"/>
            <w:tcBorders>
              <w:top w:val="single" w:color="auto" w:sz="4" w:space="0"/>
              <w:left w:val="nil"/>
              <w:bottom w:val="single" w:color="auto" w:sz="4" w:space="0"/>
              <w:right w:val="single" w:color="auto" w:sz="4" w:space="0"/>
            </w:tcBorders>
            <w:vAlign w:val="center"/>
          </w:tcPr>
          <w:p w14:paraId="1EFC824A">
            <w:pPr>
              <w:jc w:val="center"/>
              <w:rPr>
                <w:rFonts w:hint="default"/>
                <w:lang w:val="en-US" w:eastAsia="zh-CN"/>
              </w:rPr>
            </w:pPr>
            <w:r>
              <w:rPr>
                <w:rFonts w:hint="eastAsia"/>
                <w:lang w:val="en-US" w:eastAsia="zh-CN"/>
              </w:rPr>
              <w:t>100%</w:t>
            </w:r>
          </w:p>
        </w:tc>
      </w:tr>
      <w:tr w14:paraId="56D5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95" w:type="pct"/>
            <w:vMerge w:val="continue"/>
            <w:tcBorders>
              <w:top w:val="nil"/>
              <w:left w:val="single" w:color="auto" w:sz="4" w:space="0"/>
              <w:bottom w:val="single" w:color="auto" w:sz="4" w:space="0"/>
              <w:right w:val="single" w:color="auto" w:sz="4" w:space="0"/>
            </w:tcBorders>
            <w:vAlign w:val="center"/>
          </w:tcPr>
          <w:p w14:paraId="1C969240">
            <w:pPr>
              <w:jc w:val="center"/>
              <w:rPr>
                <w:rFonts w:hint="eastAsia"/>
              </w:rPr>
            </w:pPr>
          </w:p>
        </w:tc>
        <w:tc>
          <w:tcPr>
            <w:tcW w:w="785" w:type="pct"/>
            <w:tcBorders>
              <w:top w:val="nil"/>
              <w:left w:val="nil"/>
              <w:bottom w:val="single" w:color="auto" w:sz="4" w:space="0"/>
              <w:right w:val="single" w:color="auto" w:sz="4" w:space="0"/>
            </w:tcBorders>
            <w:vAlign w:val="center"/>
          </w:tcPr>
          <w:p w14:paraId="2D34EF14">
            <w:pPr>
              <w:jc w:val="center"/>
              <w:rPr>
                <w:rFonts w:hint="eastAsia"/>
              </w:rPr>
            </w:pPr>
            <w:r>
              <w:rPr>
                <w:rFonts w:hint="eastAsia"/>
              </w:rPr>
              <w:t>效益指标</w:t>
            </w:r>
          </w:p>
        </w:tc>
        <w:tc>
          <w:tcPr>
            <w:tcW w:w="882" w:type="pct"/>
            <w:tcBorders>
              <w:top w:val="nil"/>
              <w:left w:val="nil"/>
              <w:bottom w:val="single" w:color="auto" w:sz="4" w:space="0"/>
              <w:right w:val="single" w:color="auto" w:sz="4" w:space="0"/>
            </w:tcBorders>
            <w:vAlign w:val="center"/>
          </w:tcPr>
          <w:p w14:paraId="755246FF">
            <w:pPr>
              <w:jc w:val="center"/>
              <w:rPr>
                <w:rFonts w:hint="eastAsia"/>
              </w:rPr>
            </w:pPr>
          </w:p>
          <w:p w14:paraId="61F3BB2F">
            <w:pPr>
              <w:jc w:val="center"/>
              <w:rPr>
                <w:rFonts w:hint="eastAsia"/>
              </w:rPr>
            </w:pPr>
            <w:r>
              <w:rPr>
                <w:rFonts w:hint="eastAsia"/>
              </w:rPr>
              <w:t>社会效益指标</w:t>
            </w:r>
          </w:p>
          <w:p w14:paraId="7FFA851C">
            <w:pPr>
              <w:pStyle w:val="2"/>
              <w:rPr>
                <w:rFonts w:hint="eastAsia"/>
              </w:rPr>
            </w:pPr>
          </w:p>
        </w:tc>
        <w:tc>
          <w:tcPr>
            <w:tcW w:w="1294" w:type="pct"/>
            <w:tcBorders>
              <w:top w:val="single" w:color="auto" w:sz="4" w:space="0"/>
              <w:left w:val="nil"/>
              <w:right w:val="single" w:color="auto" w:sz="4" w:space="0"/>
            </w:tcBorders>
            <w:vAlign w:val="center"/>
          </w:tcPr>
          <w:p w14:paraId="34812548">
            <w:pPr>
              <w:jc w:val="center"/>
              <w:rPr>
                <w:rFonts w:hint="eastAsia"/>
              </w:rPr>
            </w:pPr>
            <w:r>
              <w:rPr>
                <w:rFonts w:hint="eastAsia"/>
              </w:rPr>
              <w:t>优抚对象生活情况</w:t>
            </w:r>
          </w:p>
        </w:tc>
        <w:tc>
          <w:tcPr>
            <w:tcW w:w="1143" w:type="pct"/>
            <w:tcBorders>
              <w:top w:val="single" w:color="auto" w:sz="4" w:space="0"/>
              <w:left w:val="nil"/>
              <w:bottom w:val="single" w:color="auto" w:sz="4" w:space="0"/>
              <w:right w:val="single" w:color="auto" w:sz="4" w:space="0"/>
            </w:tcBorders>
            <w:vAlign w:val="center"/>
          </w:tcPr>
          <w:p w14:paraId="11872657">
            <w:pPr>
              <w:jc w:val="center"/>
              <w:rPr>
                <w:rFonts w:hint="eastAsia"/>
              </w:rPr>
            </w:pPr>
            <w:r>
              <w:rPr>
                <w:rFonts w:hint="eastAsia"/>
              </w:rPr>
              <w:t>有效改善</w:t>
            </w:r>
          </w:p>
        </w:tc>
      </w:tr>
      <w:tr w14:paraId="4BCC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95" w:type="pct"/>
            <w:vMerge w:val="continue"/>
            <w:tcBorders>
              <w:top w:val="nil"/>
              <w:left w:val="single" w:color="auto" w:sz="4" w:space="0"/>
              <w:bottom w:val="single" w:color="auto" w:sz="4" w:space="0"/>
              <w:right w:val="single" w:color="auto" w:sz="4" w:space="0"/>
            </w:tcBorders>
            <w:vAlign w:val="center"/>
          </w:tcPr>
          <w:p w14:paraId="38B0A05C">
            <w:pPr>
              <w:jc w:val="center"/>
              <w:rPr>
                <w:rFonts w:hint="eastAsia"/>
              </w:rPr>
            </w:pPr>
          </w:p>
        </w:tc>
        <w:tc>
          <w:tcPr>
            <w:tcW w:w="785" w:type="pct"/>
            <w:tcBorders>
              <w:top w:val="single" w:color="auto" w:sz="4" w:space="0"/>
              <w:left w:val="nil"/>
              <w:bottom w:val="single" w:color="auto" w:sz="4" w:space="0"/>
              <w:right w:val="single" w:color="auto" w:sz="4" w:space="0"/>
            </w:tcBorders>
            <w:vAlign w:val="center"/>
          </w:tcPr>
          <w:p w14:paraId="45C62448">
            <w:pPr>
              <w:jc w:val="center"/>
              <w:rPr>
                <w:rFonts w:hint="eastAsia"/>
              </w:rPr>
            </w:pPr>
            <w:r>
              <w:rPr>
                <w:rFonts w:hint="eastAsia"/>
              </w:rPr>
              <w:t>满意度指标</w:t>
            </w:r>
          </w:p>
        </w:tc>
        <w:tc>
          <w:tcPr>
            <w:tcW w:w="882" w:type="pct"/>
            <w:tcBorders>
              <w:top w:val="single" w:color="auto" w:sz="4" w:space="0"/>
              <w:left w:val="nil"/>
              <w:bottom w:val="single" w:color="auto" w:sz="4" w:space="0"/>
              <w:right w:val="single" w:color="auto" w:sz="4" w:space="0"/>
            </w:tcBorders>
            <w:vAlign w:val="center"/>
          </w:tcPr>
          <w:p w14:paraId="7CB4D403">
            <w:pPr>
              <w:jc w:val="center"/>
              <w:rPr>
                <w:rFonts w:hint="eastAsia"/>
              </w:rPr>
            </w:pPr>
            <w:r>
              <w:rPr>
                <w:rFonts w:hint="eastAsia"/>
              </w:rPr>
              <w:t>服务对象满意度指标</w:t>
            </w:r>
          </w:p>
        </w:tc>
        <w:tc>
          <w:tcPr>
            <w:tcW w:w="1294" w:type="pct"/>
            <w:tcBorders>
              <w:top w:val="single" w:color="auto" w:sz="4" w:space="0"/>
              <w:left w:val="nil"/>
              <w:bottom w:val="single" w:color="auto" w:sz="4" w:space="0"/>
              <w:right w:val="single" w:color="auto" w:sz="4" w:space="0"/>
            </w:tcBorders>
            <w:vAlign w:val="center"/>
          </w:tcPr>
          <w:p w14:paraId="4AC7FDD9">
            <w:pPr>
              <w:jc w:val="center"/>
              <w:rPr>
                <w:rFonts w:hint="eastAsia"/>
              </w:rPr>
            </w:pPr>
            <w:r>
              <w:rPr>
                <w:rFonts w:hint="eastAsia"/>
              </w:rPr>
              <w:t>指标1、优抚对象满意度</w:t>
            </w:r>
          </w:p>
        </w:tc>
        <w:tc>
          <w:tcPr>
            <w:tcW w:w="1143" w:type="pct"/>
            <w:tcBorders>
              <w:top w:val="single" w:color="auto" w:sz="4" w:space="0"/>
              <w:left w:val="nil"/>
              <w:bottom w:val="single" w:color="auto" w:sz="4" w:space="0"/>
              <w:right w:val="single" w:color="auto" w:sz="4" w:space="0"/>
            </w:tcBorders>
            <w:vAlign w:val="center"/>
          </w:tcPr>
          <w:p w14:paraId="1D163065">
            <w:pPr>
              <w:jc w:val="center"/>
              <w:rPr>
                <w:rFonts w:hint="eastAsia"/>
              </w:rPr>
            </w:pPr>
            <w:r>
              <w:rPr>
                <w:rFonts w:hint="default"/>
              </w:rPr>
              <w:t>≥</w:t>
            </w:r>
            <w:r>
              <w:rPr>
                <w:rFonts w:hint="eastAsia"/>
                <w:lang w:val="en-US" w:eastAsia="zh-CN"/>
              </w:rPr>
              <w:t>90</w:t>
            </w:r>
            <w:r>
              <w:rPr>
                <w:rFonts w:hint="eastAsia"/>
              </w:rPr>
              <w:t>%</w:t>
            </w:r>
          </w:p>
        </w:tc>
      </w:tr>
    </w:tbl>
    <w:p w14:paraId="1236EE62">
      <w:pPr>
        <w:jc w:val="both"/>
        <w:rPr>
          <w:rFonts w:hint="default" w:eastAsia="宋体"/>
          <w:lang w:val="en-US" w:eastAsia="zh-CN"/>
        </w:rPr>
      </w:pPr>
    </w:p>
    <w:p w14:paraId="3724B277">
      <w:pPr>
        <w:jc w:val="center"/>
        <w:rPr>
          <w:rFonts w:hint="eastAsia" w:ascii="黑体" w:hAnsi="黑体" w:eastAsia="黑体"/>
          <w:sz w:val="28"/>
          <w:szCs w:val="28"/>
        </w:rPr>
      </w:pPr>
    </w:p>
    <w:p w14:paraId="57F20973">
      <w:pPr>
        <w:rPr>
          <w:rFonts w:hint="eastAsia"/>
        </w:rPr>
      </w:pPr>
    </w:p>
    <w:p w14:paraId="7FE59C52">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 w:name="DocumentID" w:val="{A246D83D-05ED-428F-8045-6FF454A84A12}"/>
    <w:docVar w:name="DocumentName" w:val="梁财社〔2022〕143号关于下达2022年中央优抚对象补助经费预算（第二批）的通知“01 中央直达资金”"/>
  </w:docVars>
  <w:rsids>
    <w:rsidRoot w:val="00000000"/>
    <w:rsid w:val="00830B3A"/>
    <w:rsid w:val="016B07E1"/>
    <w:rsid w:val="038D368F"/>
    <w:rsid w:val="06007873"/>
    <w:rsid w:val="0786416F"/>
    <w:rsid w:val="09745825"/>
    <w:rsid w:val="09E911F1"/>
    <w:rsid w:val="0AE5706E"/>
    <w:rsid w:val="0B0A6A71"/>
    <w:rsid w:val="0B3F144C"/>
    <w:rsid w:val="0BA12BA1"/>
    <w:rsid w:val="0C83624D"/>
    <w:rsid w:val="0D1479A0"/>
    <w:rsid w:val="0D3F0EEB"/>
    <w:rsid w:val="0DBC559A"/>
    <w:rsid w:val="0E2142A1"/>
    <w:rsid w:val="0E834B5A"/>
    <w:rsid w:val="0EE61AFB"/>
    <w:rsid w:val="0FCB1CE9"/>
    <w:rsid w:val="102F7315"/>
    <w:rsid w:val="1091445F"/>
    <w:rsid w:val="11FC7480"/>
    <w:rsid w:val="12B67DF9"/>
    <w:rsid w:val="13A6267C"/>
    <w:rsid w:val="14272167"/>
    <w:rsid w:val="148005FB"/>
    <w:rsid w:val="157818E8"/>
    <w:rsid w:val="18763BA5"/>
    <w:rsid w:val="19B16135"/>
    <w:rsid w:val="19CF3670"/>
    <w:rsid w:val="1A1E05BA"/>
    <w:rsid w:val="1A6C44A8"/>
    <w:rsid w:val="1A7D6D85"/>
    <w:rsid w:val="1B9D1623"/>
    <w:rsid w:val="1C172982"/>
    <w:rsid w:val="1D815751"/>
    <w:rsid w:val="1DD646B6"/>
    <w:rsid w:val="1DEA7DC2"/>
    <w:rsid w:val="1E410309"/>
    <w:rsid w:val="1EA0242D"/>
    <w:rsid w:val="1EF15C06"/>
    <w:rsid w:val="1FC666FD"/>
    <w:rsid w:val="2108113C"/>
    <w:rsid w:val="227A5B2F"/>
    <w:rsid w:val="23494274"/>
    <w:rsid w:val="249B10F2"/>
    <w:rsid w:val="25766390"/>
    <w:rsid w:val="27327F13"/>
    <w:rsid w:val="279D33AE"/>
    <w:rsid w:val="27AC3A14"/>
    <w:rsid w:val="283B2521"/>
    <w:rsid w:val="28743A23"/>
    <w:rsid w:val="28AC1ED8"/>
    <w:rsid w:val="28B0499E"/>
    <w:rsid w:val="2B4D5322"/>
    <w:rsid w:val="2C213B0E"/>
    <w:rsid w:val="2E152597"/>
    <w:rsid w:val="2EB86CA5"/>
    <w:rsid w:val="2F10570F"/>
    <w:rsid w:val="2F2819F8"/>
    <w:rsid w:val="317967B1"/>
    <w:rsid w:val="32572CB0"/>
    <w:rsid w:val="32CB2F7B"/>
    <w:rsid w:val="343F6005"/>
    <w:rsid w:val="34E51D3A"/>
    <w:rsid w:val="3782629D"/>
    <w:rsid w:val="380657E0"/>
    <w:rsid w:val="3A1145AF"/>
    <w:rsid w:val="3B9E44FD"/>
    <w:rsid w:val="3D1E75A7"/>
    <w:rsid w:val="3E0601CC"/>
    <w:rsid w:val="3F6049B7"/>
    <w:rsid w:val="3FB13205"/>
    <w:rsid w:val="40C50F64"/>
    <w:rsid w:val="42253A94"/>
    <w:rsid w:val="422B0AC7"/>
    <w:rsid w:val="43FA3136"/>
    <w:rsid w:val="44D7423A"/>
    <w:rsid w:val="46AF3BC9"/>
    <w:rsid w:val="47CC6BDA"/>
    <w:rsid w:val="49BF0020"/>
    <w:rsid w:val="4A14515D"/>
    <w:rsid w:val="4BE27134"/>
    <w:rsid w:val="4CF1183F"/>
    <w:rsid w:val="4D77008C"/>
    <w:rsid w:val="4D903DD3"/>
    <w:rsid w:val="4DE64F85"/>
    <w:rsid w:val="4E8C28E4"/>
    <w:rsid w:val="4F0E1D90"/>
    <w:rsid w:val="4FC41F46"/>
    <w:rsid w:val="505209FD"/>
    <w:rsid w:val="54FE12AD"/>
    <w:rsid w:val="55BE3C17"/>
    <w:rsid w:val="5620087B"/>
    <w:rsid w:val="57505284"/>
    <w:rsid w:val="5A333888"/>
    <w:rsid w:val="5B2F6498"/>
    <w:rsid w:val="5B716388"/>
    <w:rsid w:val="5B721192"/>
    <w:rsid w:val="5C226281"/>
    <w:rsid w:val="5D625B32"/>
    <w:rsid w:val="5ED66A25"/>
    <w:rsid w:val="60AD063A"/>
    <w:rsid w:val="612C2628"/>
    <w:rsid w:val="61353447"/>
    <w:rsid w:val="626D785D"/>
    <w:rsid w:val="62FB3F34"/>
    <w:rsid w:val="6633285F"/>
    <w:rsid w:val="6A855C4B"/>
    <w:rsid w:val="6BDF40EE"/>
    <w:rsid w:val="6D051BC9"/>
    <w:rsid w:val="6E0C4A49"/>
    <w:rsid w:val="6E175BAB"/>
    <w:rsid w:val="719515F5"/>
    <w:rsid w:val="73066F61"/>
    <w:rsid w:val="73262C99"/>
    <w:rsid w:val="73663EDE"/>
    <w:rsid w:val="73C2712E"/>
    <w:rsid w:val="75277D66"/>
    <w:rsid w:val="76460B34"/>
    <w:rsid w:val="76514837"/>
    <w:rsid w:val="76B8261D"/>
    <w:rsid w:val="78117866"/>
    <w:rsid w:val="78451356"/>
    <w:rsid w:val="78A94A62"/>
    <w:rsid w:val="7BA30EF9"/>
    <w:rsid w:val="7C6061A4"/>
    <w:rsid w:val="7DB83FEE"/>
    <w:rsid w:val="7ECD794D"/>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character" w:customStyle="1" w:styleId="8">
    <w:name w:val="font21"/>
    <w:basedOn w:val="6"/>
    <w:qFormat/>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b/>
      <w:color w:val="000000"/>
      <w:sz w:val="20"/>
      <w:szCs w:val="20"/>
      <w:u w:val="none"/>
    </w:rPr>
  </w:style>
  <w:style w:type="character" w:customStyle="1" w:styleId="11">
    <w:name w:val="font41"/>
    <w:basedOn w:val="6"/>
    <w:qFormat/>
    <w:uiPriority w:val="0"/>
    <w:rPr>
      <w:rFonts w:hint="default" w:ascii="Times New Roman" w:hAnsi="Times New Roman" w:eastAsia="宋体" w:cs="Times New Roman"/>
      <w:color w:val="000000"/>
      <w:sz w:val="22"/>
      <w:szCs w:val="22"/>
      <w:u w:val="none"/>
    </w:rPr>
  </w:style>
  <w:style w:type="character" w:customStyle="1" w:styleId="12">
    <w:name w:val="font71"/>
    <w:basedOn w:val="6"/>
    <w:qFormat/>
    <w:uiPriority w:val="0"/>
    <w:rPr>
      <w:rFonts w:hint="eastAsia" w:ascii="宋体" w:hAnsi="宋体" w:eastAsia="宋体" w:cs="宋体"/>
      <w:color w:val="000000"/>
      <w:sz w:val="28"/>
      <w:szCs w:val="28"/>
      <w:u w:val="none"/>
    </w:rPr>
  </w:style>
  <w:style w:type="character" w:customStyle="1" w:styleId="13">
    <w:name w:val="font11"/>
    <w:basedOn w:val="6"/>
    <w:qFormat/>
    <w:uiPriority w:val="0"/>
    <w:rPr>
      <w:rFonts w:hint="default" w:ascii="仿宋_GB2312" w:eastAsia="仿宋_GB2312" w:cs="仿宋_GB2312"/>
      <w:color w:val="000000"/>
      <w:sz w:val="30"/>
      <w:szCs w:val="30"/>
      <w:u w:val="none"/>
    </w:rPr>
  </w:style>
  <w:style w:type="paragraph" w:customStyle="1" w:styleId="14">
    <w:name w:val="图表目录1"/>
    <w:basedOn w:val="15"/>
    <w:next w:val="1"/>
    <w:qFormat/>
    <w:uiPriority w:val="0"/>
    <w:pPr>
      <w:ind w:left="200" w:leftChars="200" w:hanging="200" w:hangingChars="200"/>
    </w:pPr>
    <w:rPr>
      <w:rFonts w:ascii="Calibri" w:hAnsi="Calibri" w:eastAsia="宋体" w:cs="Times New Roma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1307</Words>
  <Characters>1429</Characters>
  <Lines>0</Lines>
  <Paragraphs>0</Paragraphs>
  <TotalTime>7</TotalTime>
  <ScaleCrop>false</ScaleCrop>
  <LinksUpToDate>false</LinksUpToDate>
  <CharactersWithSpaces>1531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2022-09-19T08:00:00Z</cp:lastPrinted>
  <dcterms:modified xsi:type="dcterms:W3CDTF">2024-11-18T07:48:49Z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18892625CC7E43348A89AFA89EA0FD90_12</vt:lpwstr>
  </property>
</Properties>
</file>