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A2C2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Cs/>
          <w:spacing w:val="0"/>
          <w:sz w:val="44"/>
          <w:szCs w:val="44"/>
          <w:lang w:val="en-US" w:eastAsia="zh-CN"/>
        </w:rPr>
      </w:pPr>
      <w:r>
        <w:rPr>
          <w:rFonts w:hint="eastAsia" w:ascii="宋体" w:hAnsi="宋体" w:eastAsia="宋体" w:cs="宋体"/>
          <w:i w:val="0"/>
          <w:iCs w:val="0"/>
          <w:caps w:val="0"/>
          <w:color w:val="262626"/>
          <w:spacing w:val="0"/>
          <w:sz w:val="24"/>
          <w:szCs w:val="24"/>
        </w:rPr>
        <w:t>梁财社〔2024〕7号</w:t>
      </w:r>
    </w:p>
    <w:p w14:paraId="79998C8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Cs/>
          <w:spacing w:val="0"/>
          <w:sz w:val="44"/>
          <w:szCs w:val="44"/>
          <w:lang w:val="en-US" w:eastAsia="zh-CN"/>
        </w:rPr>
      </w:pPr>
      <w:r>
        <w:rPr>
          <w:rFonts w:hint="eastAsia" w:ascii="方正小标宋_GBK" w:hAnsi="方正小标宋_GBK" w:eastAsia="方正小标宋_GBK" w:cs="方正小标宋_GBK"/>
          <w:bCs/>
          <w:spacing w:val="0"/>
          <w:sz w:val="44"/>
          <w:szCs w:val="44"/>
          <w:lang w:val="en-US" w:eastAsia="zh-CN"/>
        </w:rPr>
        <w:t>梁河县财政局关于下达</w:t>
      </w:r>
    </w:p>
    <w:p w14:paraId="7EA5FDB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Cs/>
          <w:spacing w:val="0"/>
          <w:sz w:val="44"/>
          <w:szCs w:val="44"/>
          <w:lang w:val="en-US" w:eastAsia="zh-CN"/>
        </w:rPr>
      </w:pPr>
      <w:r>
        <w:rPr>
          <w:rFonts w:hint="eastAsia" w:ascii="方正小标宋_GBK" w:hAnsi="方正小标宋_GBK" w:eastAsia="方正小标宋_GBK" w:cs="方正小标宋_GBK"/>
          <w:bCs/>
          <w:spacing w:val="0"/>
          <w:sz w:val="44"/>
          <w:szCs w:val="44"/>
          <w:lang w:val="en-US" w:eastAsia="zh-CN"/>
        </w:rPr>
        <w:t>2024年优抚对象补助省级经费预算的通知</w:t>
      </w:r>
    </w:p>
    <w:p w14:paraId="05E5C1FC">
      <w:pPr>
        <w:jc w:val="both"/>
        <w:rPr>
          <w:rFonts w:hint="eastAsia" w:ascii="仿宋_GB2312" w:hAnsi="仿宋_GB2312" w:eastAsia="仿宋_GB2312" w:cs="仿宋_GB2312"/>
          <w:b/>
          <w:sz w:val="44"/>
          <w:szCs w:val="44"/>
          <w:lang w:eastAsia="zh-CN"/>
        </w:rPr>
      </w:pPr>
    </w:p>
    <w:p w14:paraId="6D041A1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14:paraId="3AB56A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退役军人事务局关于提前下达2024年优抚对象补助省级经费预算的通知》（德财社〔2023〕227号），现下达你单位2024年优抚对象补助省级经费（具体金额详见附件），现将有关事项通知如下，请认真贯彻落实。</w:t>
      </w:r>
    </w:p>
    <w:p w14:paraId="277517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补助经费主要用于两个方面：一是“三属”（烈士、因公牺牲和病故军人遗属）、在乡复员军人、带病回乡退伍军人、在农村和城镇无工作单位且家庭生活困难的参战退役人员、部分原8023部队及其他参加核试验军队退役人员以及参与铀矿开采军队退役人员等人员抚恤和生活补助支出。二是中华人民共和国成立</w:t>
      </w:r>
      <w:bookmarkStart w:id="0" w:name="_GoBack"/>
      <w:bookmarkEnd w:id="0"/>
      <w:r>
        <w:rPr>
          <w:rFonts w:hint="default" w:ascii="Times New Roman" w:hAnsi="Times New Roman" w:eastAsia="方正仿宋_GBK" w:cs="Times New Roman"/>
          <w:sz w:val="32"/>
          <w:szCs w:val="32"/>
          <w:lang w:val="en-US" w:eastAsia="zh-CN"/>
        </w:rPr>
        <w:t>前入党的农村老党员和未享受离退休待遇的城镇老党员生活补贴支出。</w:t>
      </w:r>
    </w:p>
    <w:p w14:paraId="272FF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各县市该项指标收入列入2024年政府收支分类科目“1100248社会保障和就业共同财政事权转移支付收入”科目，支出列入“20808抚恤”相关科目（详见附件1），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14:paraId="0B977A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资金为直达资金，各县市财政部门在下达直达资金预算指标时，项目名称应与上级财政部门预算指标发文中的有关项目保持一致，并准确标注直达资金标识；及时在指标管理系统中登录有关指标和直达资金标识，导入直达资金监控系统，确保数据真实、账目清晰、流向明确。对于资金来源既包含中央直达资金又包含地方对应安排资金的项目，在预算指标文件、指标管理系统可按资金明细来源分别列示，在指标系统中分别登录；各县市务必按照直达资金管理要求，在直达资金监控系统内按时进行相关操作，同时切实加快资金支出进度，确保于2024年度内形成支出。</w:t>
      </w:r>
    </w:p>
    <w:p w14:paraId="368D72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四、请按照《中共中央 国务院关于全面实施预算绩效管理的意见》的要求，切实提高财政资金使用效益，完善绩效目标管理，做好绩效运行监控和绩效评价，确保财政资金安全有效。</w:t>
      </w:r>
    </w:p>
    <w:p w14:paraId="77A4DE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14:paraId="614150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附件：1.2024年优抚对象补助省级经费分配表</w:t>
      </w:r>
    </w:p>
    <w:p w14:paraId="715CF9BB">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2.2024年优抚对象补助省级经费绩效目标表</w:t>
      </w:r>
    </w:p>
    <w:p w14:paraId="53C007E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14:paraId="3DBE8E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70CBE0E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eastAsia="方正仿宋_GBK" w:cs="方正仿宋_GBK"/>
          <w:sz w:val="32"/>
          <w:szCs w:val="32"/>
          <w:lang w:val="en-US" w:eastAsia="zh-CN"/>
        </w:rPr>
        <w:sectPr>
          <w:footerReference r:id="rId3" w:type="default"/>
          <w:pgSz w:w="11906" w:h="16838"/>
          <w:pgMar w:top="1440" w:right="1803" w:bottom="1440" w:left="1803" w:header="851" w:footer="992" w:gutter="0"/>
          <w:cols w:space="0" w:num="1"/>
          <w:rtlGutter w:val="0"/>
          <w:docGrid w:type="lines" w:linePitch="332" w:charSpace="0"/>
        </w:sect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10日</w:t>
      </w:r>
    </w:p>
    <w:p w14:paraId="43713EFF">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2212448C">
      <w:pPr>
        <w:rPr>
          <w:rFonts w:hint="eastAsia" w:ascii="方正黑体_GBK" w:hAnsi="方正黑体_GBK" w:eastAsia="方正黑体_GBK" w:cs="方正黑体_GBK"/>
          <w:b w:val="0"/>
          <w:bCs/>
          <w:color w:val="auto"/>
          <w:sz w:val="32"/>
        </w:rPr>
      </w:pPr>
      <w:r>
        <w:rPr>
          <w:rFonts w:hint="eastAsia" w:ascii="方正黑体_GBK" w:hAnsi="方正黑体_GBK" w:eastAsia="方正黑体_GBK" w:cs="方正黑体_GBK"/>
          <w:b w:val="0"/>
          <w:bCs/>
          <w:color w:val="auto"/>
          <w:sz w:val="32"/>
        </w:rPr>
        <w:t>附件</w:t>
      </w:r>
      <w:r>
        <w:rPr>
          <w:rFonts w:hint="default" w:ascii="Times New Roman" w:hAnsi="Times New Roman" w:eastAsia="方正黑体_GBK" w:cs="Times New Roman"/>
          <w:b w:val="0"/>
          <w:bCs/>
          <w:color w:val="auto"/>
          <w:sz w:val="32"/>
        </w:rPr>
        <w:t>1</w:t>
      </w:r>
    </w:p>
    <w:p w14:paraId="5B5F5BA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2024年优抚对象补助省级经费分配表</w:t>
      </w:r>
    </w:p>
    <w:p w14:paraId="5CD8962C">
      <w:pPr>
        <w:ind w:firstLine="6465" w:firstLineChars="2300"/>
        <w:jc w:val="righ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单位:万元</w:t>
      </w:r>
    </w:p>
    <w:tbl>
      <w:tblPr>
        <w:tblStyle w:val="5"/>
        <w:tblpPr w:leftFromText="180" w:rightFromText="180" w:vertAnchor="text" w:horzAnchor="page" w:tblpX="1470" w:tblpY="49"/>
        <w:tblOverlap w:val="never"/>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2565"/>
        <w:gridCol w:w="3630"/>
        <w:gridCol w:w="3049"/>
        <w:gridCol w:w="2765"/>
      </w:tblGrid>
      <w:tr w14:paraId="23A1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929" w:type="pct"/>
            <w:tcBorders>
              <w:top w:val="single" w:color="auto" w:sz="4" w:space="0"/>
              <w:left w:val="single" w:color="auto" w:sz="4" w:space="0"/>
              <w:bottom w:val="single" w:color="auto" w:sz="4" w:space="0"/>
              <w:right w:val="single" w:color="auto" w:sz="4" w:space="0"/>
            </w:tcBorders>
            <w:noWrap w:val="0"/>
            <w:vAlign w:val="center"/>
          </w:tcPr>
          <w:p w14:paraId="06807BD6">
            <w:pPr>
              <w:jc w:val="center"/>
              <w:rPr>
                <w:rFonts w:hint="eastAsia"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单位</w:t>
            </w:r>
          </w:p>
        </w:tc>
        <w:tc>
          <w:tcPr>
            <w:tcW w:w="869" w:type="pct"/>
            <w:tcBorders>
              <w:top w:val="single" w:color="auto" w:sz="4" w:space="0"/>
              <w:left w:val="nil"/>
              <w:bottom w:val="single" w:color="auto" w:sz="4" w:space="0"/>
              <w:right w:val="single" w:color="auto" w:sz="4" w:space="0"/>
            </w:tcBorders>
            <w:noWrap w:val="0"/>
            <w:vAlign w:val="center"/>
          </w:tcPr>
          <w:p w14:paraId="6A83008F">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死亡抚恤</w:t>
            </w:r>
          </w:p>
          <w:p w14:paraId="7EADB83D">
            <w:pPr>
              <w:jc w:val="center"/>
              <w:rPr>
                <w:rFonts w:hint="default"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（2080801死亡抚恤）</w:t>
            </w:r>
          </w:p>
        </w:tc>
        <w:tc>
          <w:tcPr>
            <w:tcW w:w="1230" w:type="pct"/>
            <w:tcBorders>
              <w:top w:val="single" w:color="auto" w:sz="4" w:space="0"/>
              <w:left w:val="nil"/>
              <w:bottom w:val="single" w:color="auto" w:sz="4" w:space="0"/>
              <w:right w:val="single" w:color="auto" w:sz="4" w:space="0"/>
            </w:tcBorders>
            <w:noWrap w:val="0"/>
            <w:vAlign w:val="center"/>
          </w:tcPr>
          <w:p w14:paraId="660E5B76">
            <w:pPr>
              <w:jc w:val="center"/>
              <w:rPr>
                <w:rFonts w:hint="default" w:ascii="仿宋_GB2312" w:hAnsi="仿宋_GB2312" w:eastAsia="宋体" w:cs="Times New Roman"/>
                <w:b/>
                <w:bCs/>
                <w:sz w:val="24"/>
                <w:szCs w:val="24"/>
                <w:lang w:eastAsia="zh-CN"/>
              </w:rPr>
            </w:pPr>
            <w:r>
              <w:rPr>
                <w:rFonts w:ascii="仿宋_GB2312" w:hAnsi="仿宋_GB2312" w:eastAsia="宋体" w:cs="Times New Roman"/>
                <w:b/>
                <w:bCs/>
                <w:sz w:val="24"/>
                <w:szCs w:val="24"/>
              </w:rPr>
              <w:t>在乡复员退伍军人生活补助</w:t>
            </w:r>
            <w:r>
              <w:rPr>
                <w:rFonts w:hint="eastAsia" w:ascii="仿宋_GB2312" w:hAnsi="仿宋_GB2312" w:eastAsia="宋体" w:cs="Times New Roman"/>
                <w:b/>
                <w:bCs/>
                <w:sz w:val="24"/>
                <w:szCs w:val="24"/>
                <w:lang w:eastAsia="zh-CN"/>
              </w:rPr>
              <w:t>（2080803在乡复员退伍军人生活补助）</w:t>
            </w:r>
          </w:p>
        </w:tc>
        <w:tc>
          <w:tcPr>
            <w:tcW w:w="1033" w:type="pct"/>
            <w:tcBorders>
              <w:top w:val="single" w:color="auto" w:sz="4" w:space="0"/>
              <w:left w:val="nil"/>
              <w:bottom w:val="single" w:color="auto" w:sz="4" w:space="0"/>
              <w:right w:val="single" w:color="auto" w:sz="4" w:space="0"/>
            </w:tcBorders>
            <w:noWrap w:val="0"/>
            <w:vAlign w:val="center"/>
          </w:tcPr>
          <w:p w14:paraId="502D6D9B">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其他优抚支出</w:t>
            </w:r>
          </w:p>
          <w:p w14:paraId="3305084C">
            <w:pPr>
              <w:jc w:val="center"/>
              <w:rPr>
                <w:rFonts w:hint="default" w:ascii="仿宋_GB2312" w:hAnsi="仿宋_GB2312" w:eastAsia="宋体" w:cs="Times New Roman"/>
                <w:b/>
                <w:bCs/>
                <w:sz w:val="24"/>
                <w:szCs w:val="24"/>
                <w:lang w:val="en" w:eastAsia="zh-CN"/>
              </w:rPr>
            </w:pPr>
            <w:r>
              <w:rPr>
                <w:rFonts w:hint="eastAsia" w:ascii="仿宋_GB2312" w:hAnsi="仿宋_GB2312" w:eastAsia="宋体" w:cs="Times New Roman"/>
                <w:b/>
                <w:bCs/>
                <w:sz w:val="24"/>
                <w:szCs w:val="24"/>
                <w:lang w:eastAsia="zh-CN"/>
              </w:rPr>
              <w:t>（2080899其他优抚支出）</w:t>
            </w:r>
          </w:p>
        </w:tc>
        <w:tc>
          <w:tcPr>
            <w:tcW w:w="937" w:type="pct"/>
            <w:tcBorders>
              <w:top w:val="single" w:color="auto" w:sz="4" w:space="0"/>
              <w:left w:val="nil"/>
              <w:right w:val="single" w:color="auto" w:sz="4" w:space="0"/>
            </w:tcBorders>
            <w:noWrap w:val="0"/>
            <w:vAlign w:val="center"/>
          </w:tcPr>
          <w:p w14:paraId="0924EFC0">
            <w:pPr>
              <w:jc w:val="center"/>
              <w:rPr>
                <w:rFonts w:hint="default" w:ascii="仿宋_GB2312" w:hAnsi="仿宋_GB2312" w:eastAsia="宋体" w:cs="Times New Roman"/>
                <w:b/>
                <w:bCs/>
                <w:sz w:val="24"/>
                <w:szCs w:val="24"/>
              </w:rPr>
            </w:pPr>
            <w:r>
              <w:rPr>
                <w:rFonts w:hint="default" w:ascii="仿宋_GB2312" w:hAnsi="仿宋_GB2312" w:eastAsia="宋体" w:cs="Times New Roman"/>
                <w:b/>
                <w:bCs/>
                <w:sz w:val="24"/>
                <w:szCs w:val="24"/>
              </w:rPr>
              <w:t>备注</w:t>
            </w:r>
          </w:p>
        </w:tc>
      </w:tr>
      <w:tr w14:paraId="26AD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29" w:type="pct"/>
            <w:tcBorders>
              <w:top w:val="single" w:color="auto" w:sz="4" w:space="0"/>
              <w:left w:val="single" w:color="auto" w:sz="4" w:space="0"/>
              <w:bottom w:val="single" w:color="auto" w:sz="4" w:space="0"/>
              <w:right w:val="single" w:color="auto" w:sz="4" w:space="0"/>
            </w:tcBorders>
            <w:noWrap w:val="0"/>
            <w:vAlign w:val="center"/>
          </w:tcPr>
          <w:p w14:paraId="69501197">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eastAsia="zh-CN"/>
              </w:rPr>
              <w:t>梁河县退役军人事务局</w:t>
            </w:r>
          </w:p>
        </w:tc>
        <w:tc>
          <w:tcPr>
            <w:tcW w:w="869" w:type="pct"/>
            <w:tcBorders>
              <w:top w:val="single" w:color="auto" w:sz="4" w:space="0"/>
              <w:left w:val="nil"/>
              <w:bottom w:val="single" w:color="auto" w:sz="4" w:space="0"/>
              <w:right w:val="single" w:color="auto" w:sz="4" w:space="0"/>
            </w:tcBorders>
            <w:noWrap w:val="0"/>
            <w:vAlign w:val="center"/>
          </w:tcPr>
          <w:p w14:paraId="13EC6AB2">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0.17</w:t>
            </w:r>
          </w:p>
        </w:tc>
        <w:tc>
          <w:tcPr>
            <w:tcW w:w="1230" w:type="pct"/>
            <w:tcBorders>
              <w:top w:val="single" w:color="auto" w:sz="4" w:space="0"/>
              <w:left w:val="nil"/>
              <w:bottom w:val="single" w:color="auto" w:sz="4" w:space="0"/>
              <w:right w:val="single" w:color="auto" w:sz="4" w:space="0"/>
            </w:tcBorders>
            <w:noWrap w:val="0"/>
            <w:vAlign w:val="center"/>
          </w:tcPr>
          <w:p w14:paraId="145EF363">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3.81</w:t>
            </w:r>
          </w:p>
        </w:tc>
        <w:tc>
          <w:tcPr>
            <w:tcW w:w="1033" w:type="pct"/>
            <w:tcBorders>
              <w:top w:val="single" w:color="auto" w:sz="4" w:space="0"/>
              <w:left w:val="nil"/>
              <w:bottom w:val="single" w:color="auto" w:sz="4" w:space="0"/>
              <w:right w:val="single" w:color="auto" w:sz="4" w:space="0"/>
            </w:tcBorders>
            <w:noWrap w:val="0"/>
            <w:vAlign w:val="center"/>
          </w:tcPr>
          <w:p w14:paraId="52836171">
            <w:pPr>
              <w:jc w:val="center"/>
              <w:rPr>
                <w:rFonts w:hint="default" w:ascii="仿宋_GB2312" w:hAnsi="仿宋_GB2312" w:eastAsia="宋体" w:cs="Times New Roman"/>
                <w:b/>
                <w:bCs/>
                <w:sz w:val="24"/>
                <w:szCs w:val="24"/>
                <w:lang w:val="en-US" w:eastAsia="zh-CN"/>
              </w:rPr>
            </w:pPr>
            <w:r>
              <w:rPr>
                <w:rFonts w:hint="eastAsia" w:ascii="仿宋_GB2312" w:hAnsi="仿宋_GB2312" w:eastAsia="宋体" w:cs="Times New Roman"/>
                <w:b/>
                <w:bCs/>
                <w:sz w:val="24"/>
                <w:szCs w:val="24"/>
                <w:lang w:val="en-US" w:eastAsia="zh-CN"/>
              </w:rPr>
              <w:t>43.33</w:t>
            </w:r>
          </w:p>
        </w:tc>
        <w:tc>
          <w:tcPr>
            <w:tcW w:w="937" w:type="pct"/>
            <w:tcBorders>
              <w:left w:val="nil"/>
              <w:right w:val="single" w:color="auto" w:sz="4" w:space="0"/>
            </w:tcBorders>
            <w:noWrap w:val="0"/>
            <w:vAlign w:val="center"/>
          </w:tcPr>
          <w:p w14:paraId="1DFEC565">
            <w:pPr>
              <w:jc w:val="center"/>
              <w:rPr>
                <w:rFonts w:hint="default" w:ascii="仿宋_GB2312" w:hAnsi="仿宋_GB2312" w:eastAsia="宋体" w:cs="Times New Roman"/>
                <w:b/>
                <w:bCs/>
                <w:sz w:val="24"/>
                <w:szCs w:val="24"/>
              </w:rPr>
            </w:pPr>
            <w:r>
              <w:rPr>
                <w:rFonts w:ascii="仿宋_GB2312" w:hAnsi="仿宋_GB2312" w:eastAsia="宋体" w:cs="Times New Roman"/>
                <w:b/>
                <w:bCs/>
                <w:sz w:val="24"/>
                <w:szCs w:val="24"/>
              </w:rPr>
              <w:t>按</w:t>
            </w:r>
            <w:r>
              <w:rPr>
                <w:rFonts w:hint="eastAsia" w:ascii="仿宋_GB2312" w:hAnsi="仿宋_GB2312" w:eastAsia="宋体" w:cs="Times New Roman"/>
                <w:b/>
                <w:bCs/>
                <w:sz w:val="24"/>
                <w:szCs w:val="24"/>
                <w:lang w:eastAsia="zh-CN"/>
              </w:rPr>
              <w:t>照</w:t>
            </w:r>
            <w:r>
              <w:rPr>
                <w:rFonts w:ascii="仿宋_GB2312" w:hAnsi="仿宋_GB2312" w:eastAsia="宋体" w:cs="Times New Roman"/>
                <w:b/>
                <w:bCs/>
                <w:sz w:val="24"/>
                <w:szCs w:val="24"/>
              </w:rPr>
              <w:t>各县市优抚对象人数分配资金。</w:t>
            </w:r>
          </w:p>
        </w:tc>
      </w:tr>
    </w:tbl>
    <w:p w14:paraId="77AEA8C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4B4D772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65CADD1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2DA550F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134" w:right="1134" w:bottom="1134" w:left="1134" w:header="851" w:footer="992" w:gutter="0"/>
          <w:cols w:space="0" w:num="1"/>
          <w:rtlGutter w:val="0"/>
          <w:docGrid w:type="lines" w:linePitch="332" w:charSpace="0"/>
        </w:sectPr>
      </w:pPr>
    </w:p>
    <w:p w14:paraId="3B4D7323">
      <w:pPr>
        <w:rPr>
          <w:rFonts w:hint="default" w:ascii="Times New Roman" w:hAnsi="Times New Roman" w:eastAsia="方正黑体_GBK" w:cs="Times New Roman"/>
          <w:b w:val="0"/>
          <w:bCs/>
          <w:color w:val="auto"/>
          <w:sz w:val="32"/>
        </w:rPr>
      </w:pPr>
      <w:r>
        <w:rPr>
          <w:rFonts w:hint="default" w:ascii="Times New Roman" w:hAnsi="Times New Roman" w:eastAsia="方正黑体_GBK" w:cs="Times New Roman"/>
          <w:b w:val="0"/>
          <w:bCs/>
          <w:color w:val="auto"/>
          <w:sz w:val="32"/>
        </w:rPr>
        <w:t>附件2</w:t>
      </w:r>
    </w:p>
    <w:p w14:paraId="657F3EC0">
      <w:pPr>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2024年优抚对象补助省级经费预算绩效目标表</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370"/>
        <w:gridCol w:w="1665"/>
        <w:gridCol w:w="3711"/>
        <w:gridCol w:w="2194"/>
      </w:tblGrid>
      <w:tr w14:paraId="043C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pct"/>
            <w:gridSpan w:val="3"/>
            <w:tcBorders>
              <w:top w:val="single" w:color="auto" w:sz="4" w:space="0"/>
              <w:left w:val="single" w:color="auto" w:sz="4" w:space="0"/>
              <w:bottom w:val="single" w:color="auto" w:sz="4" w:space="0"/>
              <w:right w:val="single" w:color="auto" w:sz="4" w:space="0"/>
            </w:tcBorders>
            <w:noWrap w:val="0"/>
            <w:vAlign w:val="center"/>
          </w:tcPr>
          <w:p w14:paraId="5620EB8C">
            <w:pPr>
              <w:jc w:val="center"/>
              <w:rPr>
                <w:rFonts w:hint="default" w:ascii="Times New Roman" w:hAnsi="Times New Roman" w:eastAsia="方正仿宋_GBK" w:cs="Times New Roman"/>
                <w:color w:val="auto"/>
                <w:kern w:val="2"/>
                <w:sz w:val="28"/>
                <w:szCs w:val="28"/>
                <w:lang w:eastAsia="zh-CN"/>
              </w:rPr>
            </w:pPr>
            <w:r>
              <w:rPr>
                <w:rFonts w:hint="default" w:ascii="Times New Roman" w:hAnsi="Times New Roman" w:eastAsia="方正仿宋_GBK" w:cs="Times New Roman"/>
                <w:color w:val="auto"/>
                <w:kern w:val="0"/>
                <w:sz w:val="28"/>
                <w:szCs w:val="28"/>
              </w:rPr>
              <w:t>项目名称</w:t>
            </w:r>
          </w:p>
        </w:tc>
        <w:tc>
          <w:tcPr>
            <w:tcW w:w="2996" w:type="pct"/>
            <w:gridSpan w:val="2"/>
            <w:tcBorders>
              <w:top w:val="single" w:color="auto" w:sz="4" w:space="0"/>
              <w:left w:val="single" w:color="auto" w:sz="4" w:space="0"/>
              <w:bottom w:val="single" w:color="auto" w:sz="4" w:space="0"/>
              <w:right w:val="single" w:color="auto" w:sz="4" w:space="0"/>
            </w:tcBorders>
            <w:noWrap w:val="0"/>
            <w:vAlign w:val="center"/>
          </w:tcPr>
          <w:p w14:paraId="77D39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lang w:eastAsia="zh-CN"/>
              </w:rPr>
              <w:t>提前下达2024年优抚对象补助省级经费</w:t>
            </w:r>
          </w:p>
        </w:tc>
      </w:tr>
      <w:tr w14:paraId="42CE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003" w:type="pct"/>
            <w:gridSpan w:val="3"/>
            <w:tcBorders>
              <w:top w:val="single" w:color="auto" w:sz="4" w:space="0"/>
              <w:left w:val="single" w:color="auto" w:sz="4" w:space="0"/>
              <w:bottom w:val="single" w:color="auto" w:sz="4" w:space="0"/>
              <w:right w:val="single" w:color="auto" w:sz="4" w:space="0"/>
            </w:tcBorders>
            <w:noWrap w:val="0"/>
            <w:vAlign w:val="top"/>
          </w:tcPr>
          <w:p w14:paraId="022AF55F">
            <w:pPr>
              <w:jc w:val="center"/>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spacing w:val="0"/>
                <w:kern w:val="0"/>
                <w:sz w:val="28"/>
                <w:szCs w:val="28"/>
                <w:lang w:eastAsia="zh-CN"/>
              </w:rPr>
              <w:t>项目实施</w:t>
            </w:r>
            <w:r>
              <w:rPr>
                <w:rFonts w:hint="default" w:ascii="Times New Roman" w:hAnsi="Times New Roman" w:eastAsia="方正仿宋_GBK" w:cs="Times New Roman"/>
                <w:color w:val="auto"/>
                <w:spacing w:val="0"/>
                <w:kern w:val="0"/>
                <w:sz w:val="28"/>
                <w:szCs w:val="28"/>
              </w:rPr>
              <w:t>部门</w:t>
            </w:r>
          </w:p>
        </w:tc>
        <w:tc>
          <w:tcPr>
            <w:tcW w:w="2996" w:type="pct"/>
            <w:gridSpan w:val="2"/>
            <w:tcBorders>
              <w:top w:val="single" w:color="auto" w:sz="4" w:space="0"/>
              <w:left w:val="single" w:color="auto" w:sz="4" w:space="0"/>
              <w:bottom w:val="single" w:color="auto" w:sz="4" w:space="0"/>
              <w:right w:val="single" w:color="auto" w:sz="4" w:space="0"/>
            </w:tcBorders>
            <w:noWrap w:val="0"/>
            <w:vAlign w:val="center"/>
          </w:tcPr>
          <w:p w14:paraId="4A0ACC01">
            <w:pPr>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8"/>
                <w:szCs w:val="28"/>
              </w:rPr>
              <w:t>德宏州</w:t>
            </w:r>
            <w:r>
              <w:rPr>
                <w:rFonts w:hint="default" w:ascii="Times New Roman" w:hAnsi="Times New Roman" w:eastAsia="方正仿宋_GBK" w:cs="Times New Roman"/>
                <w:color w:val="auto"/>
                <w:kern w:val="0"/>
                <w:sz w:val="28"/>
                <w:szCs w:val="28"/>
                <w:lang w:eastAsia="zh-CN"/>
              </w:rPr>
              <w:t>退役军人事务局</w:t>
            </w:r>
          </w:p>
        </w:tc>
      </w:tr>
      <w:tr w14:paraId="2152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03" w:type="pct"/>
            <w:gridSpan w:val="3"/>
            <w:tcBorders>
              <w:top w:val="nil"/>
              <w:left w:val="single" w:color="auto" w:sz="4" w:space="0"/>
              <w:bottom w:val="single" w:color="auto" w:sz="4" w:space="0"/>
              <w:right w:val="single" w:color="auto" w:sz="4" w:space="0"/>
            </w:tcBorders>
            <w:noWrap w:val="0"/>
            <w:vAlign w:val="top"/>
          </w:tcPr>
          <w:p w14:paraId="27BC198A">
            <w:pPr>
              <w:jc w:val="center"/>
              <w:rPr>
                <w:rFonts w:hint="eastAsia" w:ascii="Times New Roman" w:hAnsi="Times New Roman" w:eastAsia="方正仿宋_GBK" w:cs="Times New Roman"/>
                <w:color w:val="auto"/>
                <w:kern w:val="2"/>
                <w:sz w:val="24"/>
                <w:szCs w:val="24"/>
                <w:lang w:val="en-US" w:eastAsia="zh-CN"/>
              </w:rPr>
            </w:pPr>
            <w:r>
              <w:rPr>
                <w:rFonts w:hint="default" w:ascii="Times New Roman" w:hAnsi="Times New Roman" w:eastAsia="方正仿宋_GBK" w:cs="Times New Roman"/>
                <w:color w:val="auto"/>
                <w:kern w:val="0"/>
                <w:sz w:val="28"/>
                <w:szCs w:val="28"/>
                <w:lang w:eastAsia="zh-CN"/>
              </w:rPr>
              <w:t>项目</w:t>
            </w:r>
            <w:r>
              <w:rPr>
                <w:rFonts w:hint="default" w:ascii="Times New Roman" w:hAnsi="Times New Roman" w:eastAsia="方正仿宋_GBK" w:cs="Times New Roman"/>
                <w:color w:val="auto"/>
                <w:kern w:val="0"/>
                <w:sz w:val="28"/>
                <w:szCs w:val="28"/>
              </w:rPr>
              <w:t>资金</w:t>
            </w:r>
            <w:r>
              <w:rPr>
                <w:rFonts w:hint="eastAsia" w:ascii="Times New Roman" w:hAnsi="Times New Roman" w:eastAsia="方正仿宋_GBK" w:cs="Times New Roman"/>
                <w:color w:val="auto"/>
                <w:kern w:val="0"/>
                <w:sz w:val="28"/>
                <w:szCs w:val="28"/>
                <w:lang w:eastAsia="zh-CN"/>
              </w:rPr>
              <w:t>（万元）</w:t>
            </w:r>
          </w:p>
        </w:tc>
        <w:tc>
          <w:tcPr>
            <w:tcW w:w="2996" w:type="pct"/>
            <w:gridSpan w:val="2"/>
            <w:tcBorders>
              <w:top w:val="single" w:color="auto" w:sz="4" w:space="0"/>
              <w:left w:val="single" w:color="auto" w:sz="4" w:space="0"/>
              <w:bottom w:val="single" w:color="auto" w:sz="4" w:space="0"/>
              <w:right w:val="single" w:color="auto" w:sz="4" w:space="0"/>
            </w:tcBorders>
            <w:noWrap w:val="0"/>
            <w:vAlign w:val="center"/>
          </w:tcPr>
          <w:p w14:paraId="2E1A9647">
            <w:pPr>
              <w:jc w:val="center"/>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308.41</w:t>
            </w:r>
          </w:p>
        </w:tc>
      </w:tr>
      <w:tr w14:paraId="794E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63" w:type="pct"/>
            <w:tcBorders>
              <w:top w:val="single" w:color="auto" w:sz="4" w:space="0"/>
              <w:left w:val="single" w:color="auto" w:sz="4" w:space="0"/>
              <w:bottom w:val="single" w:color="auto" w:sz="4" w:space="0"/>
              <w:right w:val="single" w:color="auto" w:sz="4" w:space="0"/>
            </w:tcBorders>
            <w:noWrap w:val="0"/>
            <w:vAlign w:val="top"/>
          </w:tcPr>
          <w:p w14:paraId="573A7EC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年度总体目标</w:t>
            </w:r>
          </w:p>
        </w:tc>
        <w:tc>
          <w:tcPr>
            <w:tcW w:w="4536" w:type="pct"/>
            <w:gridSpan w:val="4"/>
            <w:tcBorders>
              <w:top w:val="single" w:color="auto" w:sz="4" w:space="0"/>
              <w:left w:val="nil"/>
              <w:bottom w:val="single" w:color="auto" w:sz="4" w:space="0"/>
              <w:right w:val="single" w:color="auto" w:sz="4" w:space="0"/>
            </w:tcBorders>
            <w:noWrap w:val="0"/>
            <w:vAlign w:val="top"/>
          </w:tcPr>
          <w:p w14:paraId="2AC664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kern w:val="2"/>
                <w:sz w:val="24"/>
                <w:szCs w:val="24"/>
                <w:lang w:eastAsia="zh-CN"/>
              </w:rPr>
            </w:pPr>
            <w:r>
              <w:rPr>
                <w:rFonts w:hint="eastAsia" w:ascii="Times New Roman" w:hAnsi="Times New Roman" w:eastAsia="方正仿宋_GBK" w:cs="Times New Roman"/>
                <w:color w:val="auto"/>
                <w:kern w:val="0"/>
                <w:sz w:val="24"/>
                <w:szCs w:val="24"/>
                <w:lang w:eastAsia="zh-CN"/>
              </w:rPr>
              <w:t>有效保障优抚对象等人员的基本生活，体现对该群体的社会尊崇</w:t>
            </w:r>
            <w:r>
              <w:rPr>
                <w:rFonts w:hint="default" w:ascii="Times New Roman" w:hAnsi="Times New Roman" w:eastAsia="方正仿宋_GBK" w:cs="Times New Roman"/>
                <w:color w:val="auto"/>
                <w:kern w:val="0"/>
                <w:sz w:val="24"/>
                <w:szCs w:val="24"/>
                <w:lang w:eastAsia="zh-CN"/>
              </w:rPr>
              <w:t>。</w:t>
            </w:r>
          </w:p>
        </w:tc>
      </w:tr>
      <w:tr w14:paraId="7189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pct"/>
            <w:vMerge w:val="restart"/>
            <w:tcBorders>
              <w:top w:val="nil"/>
              <w:left w:val="single" w:color="auto" w:sz="4" w:space="0"/>
              <w:bottom w:val="single" w:color="auto" w:sz="4" w:space="0"/>
              <w:right w:val="single" w:color="auto" w:sz="4" w:space="0"/>
            </w:tcBorders>
            <w:noWrap w:val="0"/>
            <w:vAlign w:val="top"/>
          </w:tcPr>
          <w:p w14:paraId="06930D07">
            <w:pPr>
              <w:jc w:val="center"/>
              <w:rPr>
                <w:rFonts w:hint="default" w:ascii="Times New Roman" w:hAnsi="Times New Roman" w:eastAsia="方正仿宋_GBK" w:cs="Times New Roman"/>
                <w:color w:val="auto"/>
                <w:kern w:val="2"/>
                <w:sz w:val="21"/>
              </w:rPr>
            </w:pPr>
          </w:p>
          <w:p w14:paraId="6FAE29FB">
            <w:pPr>
              <w:jc w:val="center"/>
              <w:rPr>
                <w:rFonts w:hint="default" w:ascii="Times New Roman" w:hAnsi="Times New Roman" w:eastAsia="方正仿宋_GBK" w:cs="Times New Roman"/>
                <w:color w:val="auto"/>
                <w:kern w:val="0"/>
                <w:sz w:val="20"/>
              </w:rPr>
            </w:pPr>
          </w:p>
          <w:p w14:paraId="51ACCD37">
            <w:pPr>
              <w:jc w:val="center"/>
              <w:rPr>
                <w:rFonts w:hint="default" w:ascii="Times New Roman" w:hAnsi="Times New Roman" w:eastAsia="方正仿宋_GBK" w:cs="Times New Roman"/>
                <w:color w:val="auto"/>
                <w:kern w:val="0"/>
                <w:sz w:val="28"/>
                <w:szCs w:val="28"/>
              </w:rPr>
            </w:pPr>
          </w:p>
          <w:p w14:paraId="5AC94782">
            <w:pPr>
              <w:jc w:val="center"/>
              <w:rPr>
                <w:rFonts w:hint="default" w:ascii="Times New Roman" w:hAnsi="Times New Roman" w:eastAsia="方正仿宋_GBK" w:cs="Times New Roman"/>
                <w:color w:val="auto"/>
                <w:kern w:val="0"/>
                <w:sz w:val="28"/>
                <w:szCs w:val="28"/>
              </w:rPr>
            </w:pPr>
          </w:p>
          <w:p w14:paraId="101D0D0D">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绩</w:t>
            </w:r>
          </w:p>
          <w:p w14:paraId="75F025FD">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效</w:t>
            </w:r>
          </w:p>
          <w:p w14:paraId="1F97712C">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目</w:t>
            </w:r>
          </w:p>
          <w:p w14:paraId="0BDB07B7">
            <w:pPr>
              <w:jc w:val="center"/>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0"/>
                <w:sz w:val="28"/>
                <w:szCs w:val="28"/>
              </w:rPr>
              <w:t>标</w:t>
            </w:r>
          </w:p>
        </w:tc>
        <w:tc>
          <w:tcPr>
            <w:tcW w:w="695" w:type="pct"/>
            <w:tcBorders>
              <w:top w:val="single" w:color="auto" w:sz="4" w:space="0"/>
              <w:left w:val="nil"/>
              <w:bottom w:val="single" w:color="auto" w:sz="4" w:space="0"/>
              <w:right w:val="single" w:color="auto" w:sz="4" w:space="0"/>
            </w:tcBorders>
            <w:noWrap w:val="0"/>
            <w:vAlign w:val="center"/>
          </w:tcPr>
          <w:p w14:paraId="0DC3BBDA">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一级指标</w:t>
            </w:r>
          </w:p>
        </w:tc>
        <w:tc>
          <w:tcPr>
            <w:tcW w:w="845" w:type="pct"/>
            <w:tcBorders>
              <w:top w:val="single" w:color="auto" w:sz="4" w:space="0"/>
              <w:left w:val="nil"/>
              <w:bottom w:val="single" w:color="auto" w:sz="4" w:space="0"/>
              <w:right w:val="single" w:color="auto" w:sz="4" w:space="0"/>
            </w:tcBorders>
            <w:noWrap w:val="0"/>
            <w:vAlign w:val="center"/>
          </w:tcPr>
          <w:p w14:paraId="6B847E8D">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二级指标</w:t>
            </w:r>
          </w:p>
        </w:tc>
        <w:tc>
          <w:tcPr>
            <w:tcW w:w="1883" w:type="pct"/>
            <w:tcBorders>
              <w:top w:val="single" w:color="auto" w:sz="4" w:space="0"/>
              <w:left w:val="nil"/>
              <w:bottom w:val="single" w:color="auto" w:sz="4" w:space="0"/>
              <w:right w:val="single" w:color="auto" w:sz="4" w:space="0"/>
            </w:tcBorders>
            <w:noWrap w:val="0"/>
            <w:vAlign w:val="center"/>
          </w:tcPr>
          <w:p w14:paraId="179A1607">
            <w:pPr>
              <w:jc w:val="center"/>
              <w:rPr>
                <w:rFonts w:hint="default" w:ascii="Times New Roman" w:hAnsi="Times New Roman" w:eastAsia="方正仿宋_GBK" w:cs="Times New Roman"/>
                <w:color w:val="auto"/>
                <w:kern w:val="2"/>
                <w:sz w:val="24"/>
                <w:szCs w:val="24"/>
              </w:rPr>
            </w:pPr>
            <w:r>
              <w:rPr>
                <w:rFonts w:hint="eastAsia" w:ascii="Times New Roman" w:hAnsi="Times New Roman" w:eastAsia="方正仿宋_GBK" w:cs="Times New Roman"/>
                <w:color w:val="auto"/>
                <w:kern w:val="0"/>
                <w:sz w:val="24"/>
                <w:szCs w:val="24"/>
                <w:lang w:eastAsia="zh-CN"/>
              </w:rPr>
              <w:t>三</w:t>
            </w:r>
            <w:r>
              <w:rPr>
                <w:rFonts w:hint="default" w:ascii="Times New Roman" w:hAnsi="Times New Roman" w:eastAsia="方正仿宋_GBK" w:cs="Times New Roman"/>
                <w:color w:val="auto"/>
                <w:kern w:val="0"/>
                <w:sz w:val="24"/>
                <w:szCs w:val="24"/>
              </w:rPr>
              <w:t>级指标</w:t>
            </w:r>
          </w:p>
        </w:tc>
        <w:tc>
          <w:tcPr>
            <w:tcW w:w="1112" w:type="pct"/>
            <w:tcBorders>
              <w:top w:val="single" w:color="auto" w:sz="4" w:space="0"/>
              <w:left w:val="nil"/>
              <w:bottom w:val="single" w:color="auto" w:sz="4" w:space="0"/>
              <w:right w:val="single" w:color="auto" w:sz="4" w:space="0"/>
            </w:tcBorders>
            <w:noWrap w:val="0"/>
            <w:vAlign w:val="center"/>
          </w:tcPr>
          <w:p w14:paraId="5A421520">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指标值</w:t>
            </w:r>
          </w:p>
        </w:tc>
      </w:tr>
      <w:tr w14:paraId="3D0C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4442441A">
            <w:pPr>
              <w:widowControl/>
              <w:jc w:val="left"/>
              <w:rPr>
                <w:rFonts w:hint="default" w:ascii="Times New Roman" w:hAnsi="Times New Roman" w:eastAsia="方正仿宋_GBK" w:cs="Times New Roman"/>
                <w:color w:val="auto"/>
                <w:kern w:val="2"/>
                <w:sz w:val="21"/>
              </w:rPr>
            </w:pPr>
          </w:p>
        </w:tc>
        <w:tc>
          <w:tcPr>
            <w:tcW w:w="695" w:type="pct"/>
            <w:vMerge w:val="restart"/>
            <w:tcBorders>
              <w:top w:val="nil"/>
              <w:left w:val="nil"/>
              <w:bottom w:val="single" w:color="auto" w:sz="4" w:space="0"/>
              <w:right w:val="single" w:color="auto" w:sz="4" w:space="0"/>
            </w:tcBorders>
            <w:noWrap w:val="0"/>
            <w:vAlign w:val="center"/>
          </w:tcPr>
          <w:p w14:paraId="61BCA0C2">
            <w:pPr>
              <w:jc w:val="center"/>
              <w:rPr>
                <w:rFonts w:hint="default" w:ascii="Times New Roman" w:hAnsi="Times New Roman" w:eastAsia="方正仿宋_GBK" w:cs="Times New Roman"/>
                <w:color w:val="auto"/>
                <w:kern w:val="2"/>
                <w:sz w:val="24"/>
                <w:szCs w:val="24"/>
              </w:rPr>
            </w:pPr>
          </w:p>
          <w:p w14:paraId="66674665">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产出指标</w:t>
            </w:r>
          </w:p>
        </w:tc>
        <w:tc>
          <w:tcPr>
            <w:tcW w:w="845" w:type="pct"/>
            <w:tcBorders>
              <w:top w:val="nil"/>
              <w:left w:val="nil"/>
              <w:right w:val="single" w:color="auto" w:sz="4" w:space="0"/>
            </w:tcBorders>
            <w:noWrap w:val="0"/>
            <w:vAlign w:val="center"/>
          </w:tcPr>
          <w:p w14:paraId="51D31212">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数量指标</w:t>
            </w:r>
          </w:p>
        </w:tc>
        <w:tc>
          <w:tcPr>
            <w:tcW w:w="1883" w:type="pct"/>
            <w:tcBorders>
              <w:top w:val="single" w:color="auto" w:sz="4" w:space="0"/>
              <w:left w:val="nil"/>
              <w:right w:val="single" w:color="auto" w:sz="4" w:space="0"/>
            </w:tcBorders>
            <w:noWrap w:val="0"/>
            <w:vAlign w:val="center"/>
          </w:tcPr>
          <w:p w14:paraId="615C4C31">
            <w:pPr>
              <w:jc w:val="left"/>
              <w:rPr>
                <w:rFonts w:hint="default" w:ascii="Times New Roman" w:hAnsi="Times New Roman" w:eastAsia="方正仿宋_GBK" w:cs="Times New Roman"/>
                <w:color w:val="auto"/>
                <w:spacing w:val="-20"/>
                <w:kern w:val="2"/>
                <w:sz w:val="24"/>
                <w:szCs w:val="24"/>
                <w:lang w:val="en-US" w:eastAsia="zh-CN"/>
              </w:rPr>
            </w:pPr>
            <w:r>
              <w:rPr>
                <w:rFonts w:hint="eastAsia" w:ascii="Times New Roman" w:hAnsi="Times New Roman" w:eastAsia="方正仿宋_GBK" w:cs="Times New Roman"/>
                <w:color w:val="auto"/>
                <w:spacing w:val="-20"/>
                <w:kern w:val="2"/>
                <w:sz w:val="24"/>
                <w:szCs w:val="24"/>
                <w:lang w:eastAsia="zh-CN"/>
              </w:rPr>
              <w:t>优抚对象补助经费发放人数</w:t>
            </w:r>
          </w:p>
        </w:tc>
        <w:tc>
          <w:tcPr>
            <w:tcW w:w="1112" w:type="pct"/>
            <w:tcBorders>
              <w:top w:val="single" w:color="auto" w:sz="4" w:space="0"/>
              <w:left w:val="nil"/>
              <w:bottom w:val="single" w:color="auto" w:sz="4" w:space="0"/>
              <w:right w:val="single" w:color="auto" w:sz="4" w:space="0"/>
            </w:tcBorders>
            <w:noWrap w:val="0"/>
            <w:vAlign w:val="center"/>
          </w:tcPr>
          <w:p w14:paraId="4F1BEB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2"/>
                <w:sz w:val="24"/>
                <w:szCs w:val="24"/>
              </w:rPr>
            </w:pPr>
            <w:r>
              <w:rPr>
                <w:rFonts w:hint="eastAsia" w:ascii="Times New Roman" w:hAnsi="Times New Roman" w:eastAsia="方正仿宋_GBK" w:cs="Times New Roman"/>
                <w:color w:val="auto"/>
                <w:kern w:val="0"/>
                <w:sz w:val="24"/>
                <w:szCs w:val="24"/>
                <w:lang w:val="en-US" w:eastAsia="zh-CN"/>
              </w:rPr>
              <w:t>≥0.22</w:t>
            </w:r>
            <w:r>
              <w:rPr>
                <w:rFonts w:hint="default" w:ascii="Times New Roman" w:hAnsi="Times New Roman" w:eastAsia="方正仿宋_GBK" w:cs="Times New Roman"/>
                <w:color w:val="auto"/>
                <w:kern w:val="0"/>
                <w:sz w:val="24"/>
                <w:szCs w:val="24"/>
                <w:lang w:val="en-US" w:eastAsia="zh-CN"/>
              </w:rPr>
              <w:t>万</w:t>
            </w:r>
            <w:r>
              <w:rPr>
                <w:rFonts w:hint="default" w:ascii="Times New Roman" w:hAnsi="Times New Roman" w:eastAsia="方正仿宋_GBK" w:cs="Times New Roman"/>
                <w:color w:val="auto"/>
                <w:kern w:val="0"/>
                <w:sz w:val="24"/>
                <w:szCs w:val="24"/>
              </w:rPr>
              <w:t>人。</w:t>
            </w:r>
          </w:p>
        </w:tc>
      </w:tr>
      <w:tr w14:paraId="493F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313C45A8">
            <w:pPr>
              <w:widowControl/>
              <w:jc w:val="left"/>
              <w:rPr>
                <w:rFonts w:hint="default" w:ascii="Times New Roman" w:hAnsi="Times New Roman" w:eastAsia="方正仿宋_GBK" w:cs="Times New Roman"/>
                <w:color w:val="auto"/>
                <w:kern w:val="2"/>
                <w:sz w:val="21"/>
              </w:rPr>
            </w:pPr>
          </w:p>
        </w:tc>
        <w:tc>
          <w:tcPr>
            <w:tcW w:w="695" w:type="pct"/>
            <w:vMerge w:val="continue"/>
            <w:tcBorders>
              <w:top w:val="nil"/>
              <w:left w:val="nil"/>
              <w:bottom w:val="single" w:color="auto" w:sz="4" w:space="0"/>
              <w:right w:val="single" w:color="auto" w:sz="4" w:space="0"/>
            </w:tcBorders>
            <w:noWrap w:val="0"/>
            <w:vAlign w:val="center"/>
          </w:tcPr>
          <w:p w14:paraId="726622C2">
            <w:pPr>
              <w:widowControl/>
              <w:jc w:val="center"/>
              <w:rPr>
                <w:rFonts w:hint="default" w:ascii="Times New Roman" w:hAnsi="Times New Roman" w:eastAsia="方正仿宋_GBK" w:cs="Times New Roman"/>
                <w:color w:val="auto"/>
                <w:kern w:val="2"/>
                <w:sz w:val="24"/>
                <w:szCs w:val="24"/>
              </w:rPr>
            </w:pPr>
          </w:p>
        </w:tc>
        <w:tc>
          <w:tcPr>
            <w:tcW w:w="845" w:type="pct"/>
            <w:vMerge w:val="restart"/>
            <w:tcBorders>
              <w:left w:val="nil"/>
              <w:right w:val="single" w:color="auto" w:sz="4" w:space="0"/>
            </w:tcBorders>
            <w:noWrap w:val="0"/>
            <w:vAlign w:val="center"/>
          </w:tcPr>
          <w:p w14:paraId="1D7C66C8">
            <w:pPr>
              <w:jc w:val="center"/>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质量指标</w:t>
            </w:r>
          </w:p>
        </w:tc>
        <w:tc>
          <w:tcPr>
            <w:tcW w:w="1883" w:type="pct"/>
            <w:tcBorders>
              <w:top w:val="single" w:color="auto" w:sz="4" w:space="0"/>
              <w:left w:val="nil"/>
              <w:bottom w:val="single" w:color="auto" w:sz="4" w:space="0"/>
              <w:right w:val="single" w:color="auto" w:sz="4" w:space="0"/>
            </w:tcBorders>
            <w:noWrap w:val="0"/>
            <w:vAlign w:val="center"/>
          </w:tcPr>
          <w:p w14:paraId="0BAD9EED">
            <w:pPr>
              <w:jc w:val="left"/>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lang w:eastAsia="zh-CN"/>
              </w:rPr>
              <w:t>经费足额拨付率</w:t>
            </w:r>
          </w:p>
        </w:tc>
        <w:tc>
          <w:tcPr>
            <w:tcW w:w="1112" w:type="pct"/>
            <w:tcBorders>
              <w:top w:val="single" w:color="auto" w:sz="4" w:space="0"/>
              <w:left w:val="nil"/>
              <w:bottom w:val="single" w:color="auto" w:sz="4" w:space="0"/>
              <w:right w:val="single" w:color="auto" w:sz="4" w:space="0"/>
            </w:tcBorders>
            <w:noWrap w:val="0"/>
            <w:vAlign w:val="center"/>
          </w:tcPr>
          <w:p w14:paraId="0D2255C6">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100%</w:t>
            </w:r>
          </w:p>
        </w:tc>
      </w:tr>
      <w:tr w14:paraId="6CD5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2BEF5F02">
            <w:pPr>
              <w:widowControl/>
              <w:jc w:val="left"/>
              <w:rPr>
                <w:rFonts w:hint="default" w:ascii="Times New Roman" w:hAnsi="Times New Roman" w:eastAsia="方正仿宋_GBK" w:cs="Times New Roman"/>
                <w:color w:val="auto"/>
                <w:kern w:val="2"/>
                <w:sz w:val="21"/>
              </w:rPr>
            </w:pPr>
          </w:p>
        </w:tc>
        <w:tc>
          <w:tcPr>
            <w:tcW w:w="695" w:type="pct"/>
            <w:vMerge w:val="continue"/>
            <w:tcBorders>
              <w:top w:val="nil"/>
              <w:left w:val="nil"/>
              <w:bottom w:val="single" w:color="auto" w:sz="4" w:space="0"/>
              <w:right w:val="single" w:color="auto" w:sz="4" w:space="0"/>
            </w:tcBorders>
            <w:noWrap w:val="0"/>
            <w:vAlign w:val="center"/>
          </w:tcPr>
          <w:p w14:paraId="4A3E0229">
            <w:pPr>
              <w:widowControl/>
              <w:jc w:val="center"/>
              <w:rPr>
                <w:rFonts w:hint="default" w:ascii="Times New Roman" w:hAnsi="Times New Roman" w:eastAsia="方正仿宋_GBK" w:cs="Times New Roman"/>
                <w:color w:val="auto"/>
                <w:kern w:val="2"/>
                <w:sz w:val="24"/>
                <w:szCs w:val="24"/>
              </w:rPr>
            </w:pPr>
          </w:p>
        </w:tc>
        <w:tc>
          <w:tcPr>
            <w:tcW w:w="845" w:type="pct"/>
            <w:vMerge w:val="continue"/>
            <w:tcBorders>
              <w:left w:val="nil"/>
              <w:bottom w:val="single" w:color="auto" w:sz="4" w:space="0"/>
              <w:right w:val="single" w:color="auto" w:sz="4" w:space="0"/>
            </w:tcBorders>
            <w:noWrap w:val="0"/>
            <w:vAlign w:val="center"/>
          </w:tcPr>
          <w:p w14:paraId="0D4FD4BB">
            <w:pPr>
              <w:jc w:val="center"/>
              <w:rPr>
                <w:rFonts w:hint="eastAsia" w:ascii="Times New Roman" w:hAnsi="Times New Roman" w:eastAsia="方正仿宋_GBK" w:cs="Times New Roman"/>
                <w:color w:val="auto"/>
                <w:kern w:val="0"/>
                <w:sz w:val="24"/>
                <w:szCs w:val="24"/>
                <w:lang w:eastAsia="zh-CN"/>
              </w:rPr>
            </w:pPr>
          </w:p>
        </w:tc>
        <w:tc>
          <w:tcPr>
            <w:tcW w:w="1883" w:type="pct"/>
            <w:tcBorders>
              <w:top w:val="single" w:color="auto" w:sz="4" w:space="0"/>
              <w:left w:val="nil"/>
              <w:bottom w:val="single" w:color="auto" w:sz="4" w:space="0"/>
              <w:right w:val="single" w:color="auto" w:sz="4" w:space="0"/>
            </w:tcBorders>
            <w:noWrap w:val="0"/>
            <w:vAlign w:val="center"/>
          </w:tcPr>
          <w:p w14:paraId="0BAE7E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获补对象准确率</w:t>
            </w:r>
          </w:p>
        </w:tc>
        <w:tc>
          <w:tcPr>
            <w:tcW w:w="1112" w:type="pct"/>
            <w:tcBorders>
              <w:top w:val="single" w:color="auto" w:sz="4" w:space="0"/>
              <w:left w:val="nil"/>
              <w:bottom w:val="single" w:color="auto" w:sz="4" w:space="0"/>
              <w:right w:val="single" w:color="auto" w:sz="4" w:space="0"/>
            </w:tcBorders>
            <w:noWrap w:val="0"/>
            <w:vAlign w:val="center"/>
          </w:tcPr>
          <w:p w14:paraId="7E52BC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100%</w:t>
            </w:r>
          </w:p>
        </w:tc>
      </w:tr>
      <w:tr w14:paraId="4019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69775AC0">
            <w:pPr>
              <w:widowControl/>
              <w:jc w:val="left"/>
              <w:rPr>
                <w:rFonts w:hint="default" w:ascii="Times New Roman" w:hAnsi="Times New Roman" w:eastAsia="方正仿宋_GBK" w:cs="Times New Roman"/>
                <w:color w:val="auto"/>
                <w:kern w:val="2"/>
                <w:sz w:val="21"/>
              </w:rPr>
            </w:pPr>
          </w:p>
        </w:tc>
        <w:tc>
          <w:tcPr>
            <w:tcW w:w="695" w:type="pct"/>
            <w:vMerge w:val="continue"/>
            <w:tcBorders>
              <w:top w:val="nil"/>
              <w:left w:val="nil"/>
              <w:bottom w:val="single" w:color="auto" w:sz="4" w:space="0"/>
              <w:right w:val="single" w:color="auto" w:sz="4" w:space="0"/>
            </w:tcBorders>
            <w:noWrap w:val="0"/>
            <w:vAlign w:val="center"/>
          </w:tcPr>
          <w:p w14:paraId="1ADE2B34">
            <w:pPr>
              <w:widowControl/>
              <w:jc w:val="center"/>
              <w:rPr>
                <w:rFonts w:hint="default" w:ascii="Times New Roman" w:hAnsi="Times New Roman" w:eastAsia="方正仿宋_GBK" w:cs="Times New Roman"/>
                <w:color w:val="auto"/>
                <w:kern w:val="2"/>
                <w:sz w:val="24"/>
                <w:szCs w:val="24"/>
              </w:rPr>
            </w:pPr>
          </w:p>
        </w:tc>
        <w:tc>
          <w:tcPr>
            <w:tcW w:w="845" w:type="pct"/>
            <w:tcBorders>
              <w:top w:val="single" w:color="auto" w:sz="4" w:space="0"/>
              <w:left w:val="nil"/>
              <w:bottom w:val="single" w:color="auto" w:sz="4" w:space="0"/>
              <w:right w:val="single" w:color="auto" w:sz="4" w:space="0"/>
            </w:tcBorders>
            <w:noWrap w:val="0"/>
            <w:vAlign w:val="center"/>
          </w:tcPr>
          <w:p w14:paraId="5C482BB0">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时效指标</w:t>
            </w:r>
          </w:p>
        </w:tc>
        <w:tc>
          <w:tcPr>
            <w:tcW w:w="1883" w:type="pct"/>
            <w:tcBorders>
              <w:top w:val="single" w:color="auto" w:sz="4" w:space="0"/>
              <w:left w:val="nil"/>
              <w:bottom w:val="single" w:color="auto" w:sz="4" w:space="0"/>
              <w:right w:val="single" w:color="auto" w:sz="4" w:space="0"/>
            </w:tcBorders>
            <w:noWrap w:val="0"/>
            <w:vAlign w:val="center"/>
          </w:tcPr>
          <w:p w14:paraId="657BB4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rPr>
            </w:pPr>
            <w:r>
              <w:rPr>
                <w:rFonts w:hint="eastAsia" w:ascii="Times New Roman" w:hAnsi="Times New Roman" w:eastAsia="方正仿宋_GBK" w:cs="Times New Roman"/>
                <w:color w:val="auto"/>
                <w:kern w:val="0"/>
                <w:sz w:val="24"/>
                <w:szCs w:val="24"/>
                <w:lang w:eastAsia="zh-CN"/>
              </w:rPr>
              <w:t>补助资金拨付到位</w:t>
            </w:r>
          </w:p>
        </w:tc>
        <w:tc>
          <w:tcPr>
            <w:tcW w:w="1112" w:type="pct"/>
            <w:tcBorders>
              <w:top w:val="single" w:color="auto" w:sz="4" w:space="0"/>
              <w:left w:val="nil"/>
              <w:bottom w:val="single" w:color="auto" w:sz="4" w:space="0"/>
              <w:right w:val="single" w:color="auto" w:sz="4" w:space="0"/>
            </w:tcBorders>
            <w:noWrap w:val="0"/>
            <w:vAlign w:val="center"/>
          </w:tcPr>
          <w:p w14:paraId="157ABD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rPr>
            </w:pPr>
            <w:r>
              <w:rPr>
                <w:rFonts w:hint="eastAsia" w:ascii="Times New Roman" w:hAnsi="Times New Roman" w:eastAsia="方正仿宋_GBK" w:cs="Times New Roman"/>
                <w:color w:val="auto"/>
                <w:kern w:val="0"/>
                <w:sz w:val="24"/>
                <w:szCs w:val="24"/>
                <w:lang w:val="en-US" w:eastAsia="zh-CN"/>
              </w:rPr>
              <w:t>2024年12月底前</w:t>
            </w:r>
          </w:p>
        </w:tc>
      </w:tr>
      <w:tr w14:paraId="30A1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5C2B1B15">
            <w:pPr>
              <w:widowControl/>
              <w:jc w:val="left"/>
              <w:rPr>
                <w:rFonts w:hint="default" w:ascii="Times New Roman" w:hAnsi="Times New Roman" w:eastAsia="方正仿宋_GBK" w:cs="Times New Roman"/>
                <w:color w:val="auto"/>
                <w:kern w:val="2"/>
                <w:sz w:val="21"/>
              </w:rPr>
            </w:pPr>
          </w:p>
        </w:tc>
        <w:tc>
          <w:tcPr>
            <w:tcW w:w="695" w:type="pct"/>
            <w:vMerge w:val="restart"/>
            <w:tcBorders>
              <w:top w:val="nil"/>
              <w:left w:val="nil"/>
              <w:right w:val="single" w:color="auto" w:sz="4" w:space="0"/>
            </w:tcBorders>
            <w:noWrap w:val="0"/>
            <w:vAlign w:val="center"/>
          </w:tcPr>
          <w:p w14:paraId="7F11AD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效益指标</w:t>
            </w:r>
          </w:p>
        </w:tc>
        <w:tc>
          <w:tcPr>
            <w:tcW w:w="845" w:type="pct"/>
            <w:vMerge w:val="restart"/>
            <w:tcBorders>
              <w:top w:val="nil"/>
              <w:left w:val="nil"/>
              <w:right w:val="single" w:color="auto" w:sz="4" w:space="0"/>
            </w:tcBorders>
            <w:noWrap w:val="0"/>
            <w:vAlign w:val="center"/>
          </w:tcPr>
          <w:p w14:paraId="779D79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rPr>
              <w:t>社会效益指</w:t>
            </w:r>
            <w:r>
              <w:rPr>
                <w:rFonts w:hint="eastAsia" w:ascii="Times New Roman" w:hAnsi="Times New Roman" w:eastAsia="方正仿宋_GBK" w:cs="Times New Roman"/>
                <w:color w:val="auto"/>
                <w:kern w:val="0"/>
                <w:sz w:val="24"/>
                <w:szCs w:val="24"/>
                <w:lang w:eastAsia="zh-CN"/>
              </w:rPr>
              <w:t>标</w:t>
            </w:r>
          </w:p>
        </w:tc>
        <w:tc>
          <w:tcPr>
            <w:tcW w:w="1883" w:type="pct"/>
            <w:tcBorders>
              <w:top w:val="single" w:color="auto" w:sz="4" w:space="0"/>
              <w:left w:val="nil"/>
              <w:right w:val="single" w:color="auto" w:sz="4" w:space="0"/>
            </w:tcBorders>
            <w:noWrap w:val="0"/>
            <w:vAlign w:val="center"/>
          </w:tcPr>
          <w:p w14:paraId="4C5679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政策知晓率</w:t>
            </w:r>
          </w:p>
        </w:tc>
        <w:tc>
          <w:tcPr>
            <w:tcW w:w="1112" w:type="pct"/>
            <w:tcBorders>
              <w:top w:val="single" w:color="auto" w:sz="4" w:space="0"/>
              <w:left w:val="nil"/>
              <w:bottom w:val="single" w:color="auto" w:sz="4" w:space="0"/>
              <w:right w:val="single" w:color="auto" w:sz="4" w:space="0"/>
            </w:tcBorders>
            <w:noWrap w:val="0"/>
            <w:vAlign w:val="center"/>
          </w:tcPr>
          <w:p w14:paraId="2CC06E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东文宋体" w:hAnsi="东文宋体" w:eastAsia="东文宋体" w:cs="东文宋体"/>
                <w:color w:val="auto"/>
                <w:kern w:val="0"/>
                <w:sz w:val="24"/>
                <w:szCs w:val="24"/>
                <w:lang w:val="en-US" w:eastAsia="zh-CN"/>
              </w:rPr>
            </w:pPr>
            <w:r>
              <w:rPr>
                <w:rFonts w:hint="eastAsia" w:ascii="东文宋体" w:hAnsi="东文宋体" w:eastAsia="东文宋体" w:cs="东文宋体"/>
                <w:color w:val="auto"/>
                <w:kern w:val="0"/>
                <w:sz w:val="24"/>
                <w:szCs w:val="24"/>
                <w:lang w:val="en-US" w:eastAsia="zh-CN"/>
              </w:rPr>
              <w:t>≥85</w:t>
            </w:r>
            <w:r>
              <w:rPr>
                <w:rFonts w:hint="default" w:ascii="Times New Roman" w:hAnsi="Times New Roman" w:eastAsia="方正仿宋_GBK" w:cs="Times New Roman"/>
                <w:color w:val="auto"/>
                <w:kern w:val="0"/>
                <w:sz w:val="24"/>
                <w:szCs w:val="24"/>
              </w:rPr>
              <w:t>%</w:t>
            </w:r>
          </w:p>
        </w:tc>
      </w:tr>
      <w:tr w14:paraId="6145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19E98A6E">
            <w:pPr>
              <w:widowControl/>
              <w:jc w:val="left"/>
              <w:rPr>
                <w:rFonts w:hint="default" w:ascii="Times New Roman" w:hAnsi="Times New Roman" w:eastAsia="方正仿宋_GBK" w:cs="Times New Roman"/>
                <w:color w:val="auto"/>
                <w:kern w:val="2"/>
                <w:sz w:val="21"/>
              </w:rPr>
            </w:pPr>
          </w:p>
        </w:tc>
        <w:tc>
          <w:tcPr>
            <w:tcW w:w="695" w:type="pct"/>
            <w:vMerge w:val="continue"/>
            <w:tcBorders>
              <w:left w:val="nil"/>
              <w:right w:val="single" w:color="auto" w:sz="4" w:space="0"/>
            </w:tcBorders>
            <w:noWrap w:val="0"/>
            <w:vAlign w:val="center"/>
          </w:tcPr>
          <w:p w14:paraId="18E484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p>
        </w:tc>
        <w:tc>
          <w:tcPr>
            <w:tcW w:w="845" w:type="pct"/>
            <w:vMerge w:val="continue"/>
            <w:tcBorders>
              <w:left w:val="nil"/>
              <w:right w:val="single" w:color="auto" w:sz="4" w:space="0"/>
            </w:tcBorders>
            <w:noWrap w:val="0"/>
            <w:vAlign w:val="center"/>
          </w:tcPr>
          <w:p w14:paraId="5251AA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kern w:val="2"/>
                <w:sz w:val="24"/>
                <w:szCs w:val="24"/>
                <w:lang w:eastAsia="zh-CN"/>
              </w:rPr>
            </w:pPr>
          </w:p>
        </w:tc>
        <w:tc>
          <w:tcPr>
            <w:tcW w:w="1883" w:type="pct"/>
            <w:tcBorders>
              <w:top w:val="single" w:color="auto" w:sz="4" w:space="0"/>
              <w:left w:val="nil"/>
              <w:right w:val="single" w:color="auto" w:sz="4" w:space="0"/>
            </w:tcBorders>
            <w:noWrap w:val="0"/>
            <w:vAlign w:val="center"/>
          </w:tcPr>
          <w:p w14:paraId="2A610D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rPr>
            </w:pPr>
            <w:r>
              <w:rPr>
                <w:rFonts w:hint="eastAsia" w:ascii="Times New Roman" w:hAnsi="Times New Roman" w:eastAsia="方正仿宋_GBK" w:cs="Times New Roman"/>
                <w:color w:val="auto"/>
                <w:kern w:val="0"/>
                <w:sz w:val="24"/>
                <w:szCs w:val="24"/>
                <w:lang w:eastAsia="zh-CN"/>
              </w:rPr>
              <w:t>优抚对象因资金问题发送上访率</w:t>
            </w:r>
            <w:r>
              <w:rPr>
                <w:rFonts w:hint="eastAsia" w:ascii="Times New Roman" w:hAnsi="Times New Roman" w:eastAsia="方正仿宋_GBK" w:cs="Times New Roman"/>
                <w:color w:val="auto"/>
                <w:kern w:val="0"/>
                <w:sz w:val="24"/>
                <w:szCs w:val="24"/>
                <w:lang w:val="en-US" w:eastAsia="zh-CN"/>
              </w:rPr>
              <w:t xml:space="preserve"> </w:t>
            </w:r>
          </w:p>
        </w:tc>
        <w:tc>
          <w:tcPr>
            <w:tcW w:w="1112" w:type="pct"/>
            <w:tcBorders>
              <w:top w:val="single" w:color="auto" w:sz="4" w:space="0"/>
              <w:left w:val="nil"/>
              <w:bottom w:val="single" w:color="auto" w:sz="4" w:space="0"/>
              <w:right w:val="single" w:color="auto" w:sz="4" w:space="0"/>
            </w:tcBorders>
            <w:noWrap w:val="0"/>
            <w:vAlign w:val="center"/>
          </w:tcPr>
          <w:p w14:paraId="41A768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rPr>
            </w:pPr>
            <w:r>
              <w:rPr>
                <w:rFonts w:hint="eastAsia" w:ascii="东文宋体" w:hAnsi="东文宋体" w:eastAsia="东文宋体" w:cs="东文宋体"/>
                <w:color w:val="auto"/>
                <w:kern w:val="0"/>
                <w:sz w:val="24"/>
                <w:szCs w:val="24"/>
                <w:lang w:val="en-US" w:eastAsia="zh-CN"/>
              </w:rPr>
              <w:t>≤5%</w:t>
            </w:r>
          </w:p>
        </w:tc>
      </w:tr>
      <w:tr w14:paraId="7BC9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114D546A">
            <w:pPr>
              <w:widowControl/>
              <w:jc w:val="left"/>
              <w:rPr>
                <w:rFonts w:hint="default" w:ascii="Times New Roman" w:hAnsi="Times New Roman" w:eastAsia="方正仿宋_GBK" w:cs="Times New Roman"/>
                <w:color w:val="auto"/>
                <w:kern w:val="2"/>
                <w:sz w:val="21"/>
              </w:rPr>
            </w:pPr>
          </w:p>
        </w:tc>
        <w:tc>
          <w:tcPr>
            <w:tcW w:w="695" w:type="pct"/>
            <w:tcBorders>
              <w:top w:val="single" w:color="auto" w:sz="4" w:space="0"/>
              <w:left w:val="nil"/>
              <w:bottom w:val="single" w:color="auto" w:sz="4" w:space="0"/>
              <w:right w:val="single" w:color="auto" w:sz="4" w:space="0"/>
            </w:tcBorders>
            <w:noWrap w:val="0"/>
            <w:vAlign w:val="center"/>
          </w:tcPr>
          <w:p w14:paraId="42C0B1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满意度指标</w:t>
            </w:r>
          </w:p>
        </w:tc>
        <w:tc>
          <w:tcPr>
            <w:tcW w:w="845" w:type="pct"/>
            <w:tcBorders>
              <w:top w:val="single" w:color="auto" w:sz="4" w:space="0"/>
              <w:left w:val="nil"/>
              <w:bottom w:val="single" w:color="auto" w:sz="4" w:space="0"/>
              <w:right w:val="single" w:color="auto" w:sz="4" w:space="0"/>
            </w:tcBorders>
            <w:noWrap w:val="0"/>
            <w:vAlign w:val="center"/>
          </w:tcPr>
          <w:p w14:paraId="3F05B5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服务对象</w:t>
            </w:r>
          </w:p>
          <w:p w14:paraId="2087ED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满意度指标</w:t>
            </w:r>
          </w:p>
        </w:tc>
        <w:tc>
          <w:tcPr>
            <w:tcW w:w="1883" w:type="pct"/>
            <w:tcBorders>
              <w:top w:val="single" w:color="auto" w:sz="4" w:space="0"/>
              <w:left w:val="nil"/>
              <w:bottom w:val="single" w:color="auto" w:sz="4" w:space="0"/>
              <w:right w:val="single" w:color="auto" w:sz="4" w:space="0"/>
            </w:tcBorders>
            <w:noWrap w:val="0"/>
            <w:vAlign w:val="center"/>
          </w:tcPr>
          <w:p w14:paraId="5A2531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优抚对象满意</w:t>
            </w:r>
            <w:r>
              <w:rPr>
                <w:rFonts w:hint="eastAsia" w:ascii="Times New Roman" w:hAnsi="Times New Roman" w:eastAsia="方正仿宋_GBK" w:cs="Times New Roman"/>
                <w:color w:val="auto"/>
                <w:kern w:val="0"/>
                <w:sz w:val="24"/>
                <w:szCs w:val="24"/>
                <w:lang w:eastAsia="zh-CN"/>
              </w:rPr>
              <w:t>率</w:t>
            </w:r>
            <w:r>
              <w:rPr>
                <w:rFonts w:hint="default" w:ascii="Times New Roman" w:hAnsi="Times New Roman" w:eastAsia="方正仿宋_GBK" w:cs="Times New Roman"/>
                <w:color w:val="auto"/>
                <w:kern w:val="0"/>
                <w:sz w:val="24"/>
                <w:szCs w:val="24"/>
              </w:rPr>
              <w:t>度</w:t>
            </w:r>
          </w:p>
        </w:tc>
        <w:tc>
          <w:tcPr>
            <w:tcW w:w="1112" w:type="pct"/>
            <w:tcBorders>
              <w:top w:val="single" w:color="auto" w:sz="4" w:space="0"/>
              <w:left w:val="nil"/>
              <w:bottom w:val="single" w:color="auto" w:sz="4" w:space="0"/>
              <w:right w:val="single" w:color="auto" w:sz="4" w:space="0"/>
            </w:tcBorders>
            <w:noWrap w:val="0"/>
            <w:vAlign w:val="center"/>
          </w:tcPr>
          <w:p w14:paraId="1B2278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eastAsia" w:ascii="东文宋体" w:hAnsi="东文宋体" w:eastAsia="东文宋体" w:cs="东文宋体"/>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90</w:t>
            </w:r>
            <w:r>
              <w:rPr>
                <w:rFonts w:hint="default" w:ascii="Times New Roman" w:hAnsi="Times New Roman" w:eastAsia="方正仿宋_GBK" w:cs="Times New Roman"/>
                <w:color w:val="auto"/>
                <w:kern w:val="0"/>
                <w:sz w:val="24"/>
                <w:szCs w:val="24"/>
              </w:rPr>
              <w:t>%</w:t>
            </w:r>
          </w:p>
        </w:tc>
      </w:tr>
    </w:tbl>
    <w:p w14:paraId="0435A2B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6" w:type="first"/>
      <w:footerReference r:id="rId4" w:type="default"/>
      <w:footerReference r:id="rId5" w:type="even"/>
      <w:pgSz w:w="11906" w:h="16838"/>
      <w:pgMar w:top="1134" w:right="1134" w:bottom="1134" w:left="1134"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7C71">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09BB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C09BB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8974">
    <w:pPr>
      <w:pStyle w:val="3"/>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ED788">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C5ED788">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5CDD">
    <w:pPr>
      <w:pStyle w:val="3"/>
      <w:framePr w:wrap="around" w:vAnchor="text" w:hAnchor="margin" w:xAlign="outside" w:y="1"/>
      <w:rPr>
        <w:rStyle w:val="9"/>
      </w:rPr>
    </w:pPr>
    <w:r>
      <w:fldChar w:fldCharType="begin"/>
    </w:r>
    <w:r>
      <w:rPr>
        <w:rStyle w:val="9"/>
      </w:rPr>
      <w:instrText xml:space="preserve">PAGE  </w:instrText>
    </w:r>
    <w:r>
      <w:fldChar w:fldCharType="end"/>
    </w:r>
  </w:p>
  <w:p w14:paraId="74B5B4E6">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343E">
    <w:pPr>
      <w:pStyle w:val="3"/>
      <w:ind w:firstLine="8260" w:firstLineChars="2950"/>
      <w:rPr>
        <w:rStyle w:val="9"/>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77171F">
                          <w:pPr>
                            <w:pStyle w:val="3"/>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E77171F">
                    <w:pPr>
                      <w:pStyle w:val="3"/>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r>
      <w:rPr>
        <w:rStyle w:val="9"/>
        <w:rFonts w:hint="eastAsia" w:ascii="宋体" w:hAnsi="宋体"/>
        <w:sz w:val="28"/>
        <w:szCs w:val="28"/>
      </w:rPr>
      <w:t xml:space="preserve"> </w:t>
    </w:r>
  </w:p>
  <w:p w14:paraId="0934730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 w:name="DocumentID" w:val="{50942BFC-E842-4D88-98F4-9FFE00FE400F}"/>
    <w:docVar w:name="DocumentName" w:val="梁财社〔2024〕7号梁河县财政局关于提前下达2024年优抚对象补助省级经费预算的通知0101 中央直达资金"/>
  </w:docVars>
  <w:rsids>
    <w:rsidRoot w:val="00000000"/>
    <w:rsid w:val="00830B3A"/>
    <w:rsid w:val="01383148"/>
    <w:rsid w:val="0163262B"/>
    <w:rsid w:val="01E71B2C"/>
    <w:rsid w:val="06007873"/>
    <w:rsid w:val="0786416F"/>
    <w:rsid w:val="09745825"/>
    <w:rsid w:val="09DD383B"/>
    <w:rsid w:val="09E911F1"/>
    <w:rsid w:val="0AE5706E"/>
    <w:rsid w:val="0AF105A1"/>
    <w:rsid w:val="0B0A6A71"/>
    <w:rsid w:val="0BE877AD"/>
    <w:rsid w:val="0C5B035E"/>
    <w:rsid w:val="0C83624D"/>
    <w:rsid w:val="0D3F0EEB"/>
    <w:rsid w:val="0DBC559A"/>
    <w:rsid w:val="0E2142A1"/>
    <w:rsid w:val="0FCB1CE9"/>
    <w:rsid w:val="102F7315"/>
    <w:rsid w:val="1091445F"/>
    <w:rsid w:val="10E45564"/>
    <w:rsid w:val="11FC7480"/>
    <w:rsid w:val="124F6FFF"/>
    <w:rsid w:val="12B67DF9"/>
    <w:rsid w:val="13341197"/>
    <w:rsid w:val="138419EE"/>
    <w:rsid w:val="13A21647"/>
    <w:rsid w:val="13A6267C"/>
    <w:rsid w:val="148005FB"/>
    <w:rsid w:val="150F5AD2"/>
    <w:rsid w:val="157818E8"/>
    <w:rsid w:val="18322C59"/>
    <w:rsid w:val="18763BA5"/>
    <w:rsid w:val="19B16135"/>
    <w:rsid w:val="19CF3670"/>
    <w:rsid w:val="1A1E05BA"/>
    <w:rsid w:val="1A7D6D85"/>
    <w:rsid w:val="1B681ADC"/>
    <w:rsid w:val="1B9D1623"/>
    <w:rsid w:val="1C172982"/>
    <w:rsid w:val="1D815751"/>
    <w:rsid w:val="1DD646B6"/>
    <w:rsid w:val="1DEA7DC2"/>
    <w:rsid w:val="1EA0242D"/>
    <w:rsid w:val="1EF15C06"/>
    <w:rsid w:val="1FC666FD"/>
    <w:rsid w:val="202424BD"/>
    <w:rsid w:val="2108113C"/>
    <w:rsid w:val="21E41377"/>
    <w:rsid w:val="227A5B2F"/>
    <w:rsid w:val="22A83ADD"/>
    <w:rsid w:val="22B95AC7"/>
    <w:rsid w:val="2307485F"/>
    <w:rsid w:val="23494274"/>
    <w:rsid w:val="235829B4"/>
    <w:rsid w:val="246F5D80"/>
    <w:rsid w:val="25766390"/>
    <w:rsid w:val="267A18CC"/>
    <w:rsid w:val="273208E7"/>
    <w:rsid w:val="27327F13"/>
    <w:rsid w:val="279D33AE"/>
    <w:rsid w:val="27AC3A14"/>
    <w:rsid w:val="283B2521"/>
    <w:rsid w:val="28AC1ED8"/>
    <w:rsid w:val="2B4D5322"/>
    <w:rsid w:val="2C213B0E"/>
    <w:rsid w:val="2C622667"/>
    <w:rsid w:val="2C8A36E0"/>
    <w:rsid w:val="2DC027C2"/>
    <w:rsid w:val="2F10570F"/>
    <w:rsid w:val="2F2819F8"/>
    <w:rsid w:val="315D7DA4"/>
    <w:rsid w:val="317967B1"/>
    <w:rsid w:val="32026C74"/>
    <w:rsid w:val="32572CB0"/>
    <w:rsid w:val="32BB1C98"/>
    <w:rsid w:val="32CB2F7B"/>
    <w:rsid w:val="34E51D3A"/>
    <w:rsid w:val="353F3732"/>
    <w:rsid w:val="35523B27"/>
    <w:rsid w:val="357A2BD6"/>
    <w:rsid w:val="37660868"/>
    <w:rsid w:val="3782629D"/>
    <w:rsid w:val="37A20CAC"/>
    <w:rsid w:val="380657E0"/>
    <w:rsid w:val="3A1145AF"/>
    <w:rsid w:val="3A4F3806"/>
    <w:rsid w:val="3C6C75F7"/>
    <w:rsid w:val="3C9858D0"/>
    <w:rsid w:val="3D1E75A7"/>
    <w:rsid w:val="3D6544F0"/>
    <w:rsid w:val="3F6049B7"/>
    <w:rsid w:val="401807C9"/>
    <w:rsid w:val="40203954"/>
    <w:rsid w:val="4038606A"/>
    <w:rsid w:val="40C50F64"/>
    <w:rsid w:val="417879F9"/>
    <w:rsid w:val="42253A94"/>
    <w:rsid w:val="422B0AC7"/>
    <w:rsid w:val="43FA3136"/>
    <w:rsid w:val="44216393"/>
    <w:rsid w:val="44D7423A"/>
    <w:rsid w:val="45285404"/>
    <w:rsid w:val="45FF5F18"/>
    <w:rsid w:val="46AF3BC9"/>
    <w:rsid w:val="47CC6BDA"/>
    <w:rsid w:val="47E257F5"/>
    <w:rsid w:val="47FE7947"/>
    <w:rsid w:val="48F54560"/>
    <w:rsid w:val="49BF0020"/>
    <w:rsid w:val="4A14515D"/>
    <w:rsid w:val="4B323368"/>
    <w:rsid w:val="4B927EA7"/>
    <w:rsid w:val="4BA062CE"/>
    <w:rsid w:val="4BE27134"/>
    <w:rsid w:val="4CF1183F"/>
    <w:rsid w:val="4D455CB5"/>
    <w:rsid w:val="4D77008C"/>
    <w:rsid w:val="4D903DD3"/>
    <w:rsid w:val="4DE64F85"/>
    <w:rsid w:val="4E305B81"/>
    <w:rsid w:val="4E8C28E4"/>
    <w:rsid w:val="4E917EA0"/>
    <w:rsid w:val="4F0E1D90"/>
    <w:rsid w:val="4FC41F46"/>
    <w:rsid w:val="50511053"/>
    <w:rsid w:val="505209FD"/>
    <w:rsid w:val="512245C8"/>
    <w:rsid w:val="54836776"/>
    <w:rsid w:val="54FE12AD"/>
    <w:rsid w:val="55BE3C17"/>
    <w:rsid w:val="5620087B"/>
    <w:rsid w:val="56455A59"/>
    <w:rsid w:val="5869591B"/>
    <w:rsid w:val="58940722"/>
    <w:rsid w:val="590B7542"/>
    <w:rsid w:val="5A333888"/>
    <w:rsid w:val="5B2F6498"/>
    <w:rsid w:val="5B3C5A35"/>
    <w:rsid w:val="5D625B32"/>
    <w:rsid w:val="5DFF0781"/>
    <w:rsid w:val="5EA42053"/>
    <w:rsid w:val="5ED66A25"/>
    <w:rsid w:val="61353447"/>
    <w:rsid w:val="61EE2E08"/>
    <w:rsid w:val="621D4E67"/>
    <w:rsid w:val="62790E71"/>
    <w:rsid w:val="62FB3F34"/>
    <w:rsid w:val="65CE47BF"/>
    <w:rsid w:val="65F64448"/>
    <w:rsid w:val="6633285F"/>
    <w:rsid w:val="6A855C4B"/>
    <w:rsid w:val="6B6F0963"/>
    <w:rsid w:val="6BDF40EE"/>
    <w:rsid w:val="6D2A0593"/>
    <w:rsid w:val="6DDC342C"/>
    <w:rsid w:val="6E0C4A49"/>
    <w:rsid w:val="6E175BAB"/>
    <w:rsid w:val="6F245E11"/>
    <w:rsid w:val="719515F5"/>
    <w:rsid w:val="719F2C97"/>
    <w:rsid w:val="71F3606C"/>
    <w:rsid w:val="73066F61"/>
    <w:rsid w:val="73262C99"/>
    <w:rsid w:val="73663EDE"/>
    <w:rsid w:val="736F2C8B"/>
    <w:rsid w:val="73C2712E"/>
    <w:rsid w:val="75277D66"/>
    <w:rsid w:val="75F40397"/>
    <w:rsid w:val="76460B34"/>
    <w:rsid w:val="76514837"/>
    <w:rsid w:val="76B8261D"/>
    <w:rsid w:val="78117866"/>
    <w:rsid w:val="78451356"/>
    <w:rsid w:val="78A94A62"/>
    <w:rsid w:val="7BA30EF9"/>
    <w:rsid w:val="7BD621F0"/>
    <w:rsid w:val="7C6061A4"/>
    <w:rsid w:val="7DB83FEE"/>
    <w:rsid w:val="7DBE3C71"/>
    <w:rsid w:val="7EBC32FE"/>
    <w:rsid w:val="7EF07283"/>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link w:val="8"/>
    <w:semiHidden/>
    <w:qFormat/>
    <w:uiPriority w:val="0"/>
    <w:rPr>
      <w:rFonts w:ascii="Verdana" w:hAnsi="Verdana" w:eastAsia="仿宋_GB2312" w:cs="Times New Roman"/>
      <w:kern w:val="0"/>
      <w:sz w:val="24"/>
      <w:szCs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7"/>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styleId="9">
    <w:name w:val="page number"/>
    <w:basedOn w:val="7"/>
    <w:qFormat/>
    <w:uiPriority w:val="0"/>
    <w:rPr>
      <w:rFonts w:ascii="Times New Roman" w:hAnsi="Times New Roman" w:eastAsia="宋体" w:cs="Times New Roman"/>
    </w:rPr>
  </w:style>
  <w:style w:type="character" w:customStyle="1" w:styleId="10">
    <w:name w:val="font21"/>
    <w:basedOn w:val="7"/>
    <w:qFormat/>
    <w:uiPriority w:val="0"/>
    <w:rPr>
      <w:rFonts w:hint="eastAsia" w:ascii="宋体" w:hAnsi="宋体" w:eastAsia="宋体" w:cs="宋体"/>
      <w:color w:val="000000"/>
      <w:sz w:val="18"/>
      <w:szCs w:val="18"/>
      <w:u w:val="none"/>
    </w:rPr>
  </w:style>
  <w:style w:type="character" w:customStyle="1" w:styleId="11">
    <w:name w:val="font31"/>
    <w:basedOn w:val="7"/>
    <w:qFormat/>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hint="eastAsia" w:ascii="宋体" w:hAnsi="宋体" w:eastAsia="宋体" w:cs="宋体"/>
      <w:b/>
      <w:color w:val="000000"/>
      <w:sz w:val="20"/>
      <w:szCs w:val="20"/>
      <w:u w:val="none"/>
    </w:rPr>
  </w:style>
  <w:style w:type="character" w:customStyle="1" w:styleId="13">
    <w:name w:val="font41"/>
    <w:basedOn w:val="7"/>
    <w:qFormat/>
    <w:uiPriority w:val="0"/>
    <w:rPr>
      <w:rFonts w:hint="default" w:ascii="Times New Roman" w:hAnsi="Times New Roman" w:eastAsia="宋体" w:cs="Times New Roman"/>
      <w:color w:val="000000"/>
      <w:sz w:val="22"/>
      <w:szCs w:val="22"/>
      <w:u w:val="none"/>
    </w:rPr>
  </w:style>
  <w:style w:type="character" w:customStyle="1" w:styleId="14">
    <w:name w:val="font71"/>
    <w:basedOn w:val="7"/>
    <w:qFormat/>
    <w:uiPriority w:val="0"/>
    <w:rPr>
      <w:rFonts w:hint="eastAsia" w:ascii="宋体" w:hAnsi="宋体" w:eastAsia="宋体" w:cs="宋体"/>
      <w:color w:val="000000"/>
      <w:sz w:val="28"/>
      <w:szCs w:val="28"/>
      <w:u w:val="none"/>
    </w:rPr>
  </w:style>
  <w:style w:type="character" w:customStyle="1" w:styleId="15">
    <w:name w:val="font11"/>
    <w:basedOn w:val="7"/>
    <w:qFormat/>
    <w:uiPriority w:val="0"/>
    <w:rPr>
      <w:rFonts w:hint="default" w:ascii="仿宋_GB2312" w:eastAsia="仿宋_GB2312" w:cs="仿宋_GB2312"/>
      <w:color w:val="000000"/>
      <w:sz w:val="30"/>
      <w:szCs w:val="30"/>
      <w:u w:val="none"/>
    </w:rPr>
  </w:style>
  <w:style w:type="paragraph" w:customStyle="1" w:styleId="16">
    <w:name w:val="图表目录1"/>
    <w:basedOn w:val="17"/>
    <w:next w:val="1"/>
    <w:qFormat/>
    <w:uiPriority w:val="0"/>
    <w:pPr>
      <w:ind w:left="200" w:leftChars="200" w:hanging="200" w:hangingChars="200"/>
    </w:pPr>
    <w:rPr>
      <w:rFonts w:ascii="Calibri" w:hAnsi="Calibri" w:eastAsia="宋体" w:cs="Times New Roman"/>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1248</Words>
  <Characters>1366</Characters>
  <Lines>0</Lines>
  <Paragraphs>0</Paragraphs>
  <TotalTime>5</TotalTime>
  <ScaleCrop>false</ScaleCrop>
  <LinksUpToDate>false</LinksUpToDate>
  <CharactersWithSpaces>1395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WPS_1602483880</cp:lastModifiedBy>
  <cp:lastPrinted>2024-01-10T02:19:00Z</cp:lastPrinted>
  <dcterms:modified xsi:type="dcterms:W3CDTF">2024-11-18T08:05:15Z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2B985FB095A4471BB8AF9D9AEBE01111</vt:lpwstr>
  </property>
</Properties>
</file>