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3C3A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方正仿宋_GBK" w:hAnsi="方正仿宋_GBK" w:eastAsia="方正仿宋_GBK" w:cs="方正仿宋_GBK"/>
          <w:bCs/>
          <w:spacing w:val="0"/>
          <w:sz w:val="32"/>
          <w:szCs w:val="32"/>
          <w:lang w:val="en-US" w:eastAsia="zh-CN"/>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2" name="KGD_Gobal1" descr="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" style="position:absolute;left:0pt;margin-left:-100.15pt;margin-top:-62pt;height:5pt;width:5pt;visibility:hidden;z-index:25166028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v&#10;jFe32wAAAA8BAAAPAAAAAAAAAAEAIAAAACIAAABkcnMvZG93bnJldi54bWxQSwECFAAUAAAACACH&#10;TuJA4XGPjrEFAAAACQAADgAAAAAAAAABACAAAAAqAQAAZHJzL2Uyb0RvYy54bWxQSwUGAAAAAAYA&#10;BgBZAQAATQkAAAAA&#10;">
                <v:fill on="t" focussize="0,0"/>
                <v:stroke weight="1pt" color="#41719C [3204]" miterlimit="8" joinstyle="miter"/>
                <v:imagedata o:title=""/>
                <o:lock v:ext="edit" aspectratio="f"/>
              </v:rect>
            </w:pict>
          </mc:Fallback>
        </mc:AlternateContent>
      </w:r>
    </w:p>
    <w:p w14:paraId="2724814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Cs/>
          <w:spacing w:val="0"/>
          <w:sz w:val="44"/>
          <w:szCs w:val="44"/>
          <w:lang w:val="en-US" w:eastAsia="zh-CN"/>
        </w:rPr>
      </w:pPr>
      <w:r>
        <w:rPr>
          <w:rFonts w:hint="eastAsia" w:ascii="方正小标宋_GBK" w:hAnsi="方正小标宋_GBK" w:eastAsia="方正小标宋_GBK" w:cs="方正小标宋_GBK"/>
          <w:bCs/>
          <w:spacing w:val="0"/>
          <w:sz w:val="44"/>
          <w:szCs w:val="44"/>
          <w:lang w:val="en-US" w:eastAsia="zh-CN"/>
        </w:rPr>
        <w:t>梁河县财政局关于下达</w:t>
      </w:r>
    </w:p>
    <w:p w14:paraId="097EC03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Cs/>
          <w:spacing w:val="0"/>
          <w:sz w:val="44"/>
          <w:szCs w:val="44"/>
          <w:lang w:val="en-US" w:eastAsia="zh-CN"/>
        </w:rPr>
      </w:pPr>
      <w:r>
        <w:rPr>
          <w:rFonts w:hint="eastAsia" w:ascii="方正小标宋_GBK" w:hAnsi="方正小标宋_GBK" w:eastAsia="方正小标宋_GBK" w:cs="方正小标宋_GBK"/>
          <w:bCs/>
          <w:spacing w:val="0"/>
          <w:sz w:val="44"/>
          <w:szCs w:val="44"/>
          <w:lang w:val="en-US" w:eastAsia="zh-CN"/>
        </w:rPr>
        <w:t>2023年优抚对象补助省级经费的通知</w:t>
      </w:r>
    </w:p>
    <w:p w14:paraId="629A9A14">
      <w:pPr>
        <w:jc w:val="both"/>
        <w:rPr>
          <w:rFonts w:hint="eastAsia" w:ascii="仿宋_GB2312" w:hAnsi="仿宋_GB2312" w:eastAsia="仿宋_GB2312" w:cs="仿宋_GB2312"/>
          <w:b/>
          <w:sz w:val="44"/>
          <w:szCs w:val="44"/>
          <w:lang w:eastAsia="zh-CN"/>
        </w:rPr>
      </w:pPr>
    </w:p>
    <w:p w14:paraId="1FCC59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14:paraId="664B3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退役军人事务局关于下达2023年优抚对象补助省级经费的通知》（德财社〔2023〕224号），现下达你单位2023年优抚对象补助省级经费具体金额详见附件，用于优抚对象等人员抚恤和生活补助。现将有关事项通知如下，请认真贯彻落实。</w:t>
      </w:r>
    </w:p>
    <w:p w14:paraId="7B66EE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补助经费主要用于以下两个方面：一是结算“三属”（烈士遗属、因公牺牲军人遗属和病故军人遗属）、在乡复员军人、带病回乡退伍军人、“两参”人员、中华人民共和国成立前入党的农村老党员和未享受离退休待遇的城镇老党员抚恤和生活补助支出。二是调整补助标准后对在乡复员军人、带病回乡退伍军人、“两参”人员、中华人民共和</w:t>
      </w:r>
      <w:bookmarkStart w:id="0" w:name="_GoBack"/>
      <w:bookmarkEnd w:id="0"/>
      <w:r>
        <w:rPr>
          <w:rFonts w:hint="default" w:ascii="Times New Roman" w:hAnsi="Times New Roman" w:eastAsia="方正仿宋_GBK" w:cs="Times New Roman"/>
          <w:sz w:val="32"/>
          <w:szCs w:val="32"/>
          <w:lang w:val="en-US" w:eastAsia="zh-CN"/>
        </w:rPr>
        <w:t>国成立前入党的农村老党员和未享受离退休待遇的城镇老党员抚恤和生活补助的调标支出。</w:t>
      </w:r>
    </w:p>
    <w:p w14:paraId="2BE3B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二、指标收入列入2023年政府收支分类科目“1100248社会保障和就业共同财政事权转移支付收入”科目，支出列入“2080899其他优抚支出”科目，政府及部门支出经济分类科目，请根据该项目要求和实际情况按照《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14:paraId="54E935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三、请按照《中共中央 国务院关于全面实施预算绩效管理的意见》的要求，切实提高财政资金使用效益，完善绩效目标管理，做好绩效运行监控和绩效评价，确保财政资金安全有效。</w:t>
      </w:r>
    </w:p>
    <w:p w14:paraId="35DFD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四、请按照规定的补助标准，及时将资金发放到位，并加强资金管理，加快预算执行进度。</w:t>
      </w:r>
    </w:p>
    <w:p w14:paraId="36180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14:paraId="2295E5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0134F8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附件：1.2023年优抚对象补助省级经费分配表</w:t>
      </w:r>
    </w:p>
    <w:p w14:paraId="35C2B16A">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-4925060</wp:posOffset>
                </wp:positionH>
                <wp:positionV relativeFrom="paragraph">
                  <wp:posOffset>-6260465</wp:posOffset>
                </wp:positionV>
                <wp:extent cx="15120620" cy="21384260"/>
                <wp:effectExtent l="0" t="0" r="0" b="0"/>
                <wp:wrapNone/>
                <wp:docPr id="3" name="KG_Shd_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visibility:hidden;z-index:-251657216;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DR14Lzdg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&#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LYMzj2gAAAA8BAAAPAAAAAAAAAAEAIAAAACIAAABk&#10;cnMvZG93bnJldi54bWxQSwECFAAUAAAACACHTuJA0deC83YCAAA8BQAADgAAAAAAAAABACAAAAAp&#10;AQAAZHJzL2Uyb0RvYy54bWxQSwUGAAAAAAYABgBZAQAAEQY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2.2023年优抚对象补助省级经费绩效目标表</w:t>
      </w:r>
    </w:p>
    <w:p w14:paraId="77B00EBC">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en-US" w:eastAsia="zh-CN"/>
        </w:rPr>
      </w:pPr>
    </w:p>
    <w:p w14:paraId="009A39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5E45A3B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3904E6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29日</w:t>
      </w:r>
    </w:p>
    <w:p w14:paraId="6C1FA7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55687E6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45AEA7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0860D6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1331E1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7592F7B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pPr>
    </w:p>
    <w:p w14:paraId="589F646E">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1440" w:right="1803" w:bottom="1440" w:left="1803" w:header="851" w:footer="992" w:gutter="0"/>
          <w:pgNumType w:fmt="decimal"/>
          <w:cols w:space="0" w:num="1"/>
          <w:rtlGutter w:val="0"/>
          <w:docGrid w:type="lines" w:linePitch="332" w:charSpace="0"/>
        </w:sectPr>
      </w:pPr>
    </w:p>
    <w:p w14:paraId="483A632C">
      <w:pPr>
        <w:rPr>
          <w:rFonts w:hint="eastAsia" w:ascii="方正黑体_GBK" w:hAnsi="方正黑体_GBK" w:eastAsia="方正黑体_GBK" w:cs="方正黑体_GBK"/>
          <w:b w:val="0"/>
          <w:bCs/>
          <w:color w:val="auto"/>
          <w:sz w:val="32"/>
        </w:rPr>
      </w:pPr>
      <w:r>
        <w:rPr>
          <w:rFonts w:hint="eastAsia" w:ascii="方正黑体_GBK" w:hAnsi="方正黑体_GBK" w:eastAsia="方正黑体_GBK" w:cs="方正黑体_GBK"/>
          <w:b w:val="0"/>
          <w:bCs/>
          <w:color w:val="auto"/>
          <w:sz w:val="32"/>
        </w:rPr>
        <w:t>附件</w:t>
      </w:r>
      <w:r>
        <w:rPr>
          <w:rFonts w:hint="default" w:ascii="Times New Roman" w:hAnsi="Times New Roman" w:eastAsia="方正黑体_GBK" w:cs="Times New Roman"/>
          <w:b w:val="0"/>
          <w:bCs/>
          <w:color w:val="auto"/>
          <w:sz w:val="32"/>
        </w:rPr>
        <w:t>1</w:t>
      </w:r>
    </w:p>
    <w:p w14:paraId="6F3B8947">
      <w:pPr>
        <w:jc w:val="center"/>
        <w:rPr>
          <w:rFonts w:hint="default" w:ascii="Times New Roman" w:hAnsi="Times New Roman" w:eastAsia="方正黑体_GBK" w:cs="Times New Roman"/>
          <w:color w:val="auto"/>
          <w:sz w:val="36"/>
          <w:szCs w:val="36"/>
        </w:rPr>
      </w:pPr>
      <w:r>
        <w:rPr>
          <w:rFonts w:hint="default" w:ascii="Times New Roman" w:hAnsi="Times New Roman" w:eastAsia="方正黑体_GBK" w:cs="Times New Roman"/>
          <w:color w:val="auto"/>
          <w:sz w:val="36"/>
          <w:szCs w:val="36"/>
        </w:rPr>
        <w:t>2023年优抚对象补助</w:t>
      </w:r>
      <w:r>
        <w:rPr>
          <w:rFonts w:hint="eastAsia" w:ascii="Times New Roman" w:hAnsi="Times New Roman" w:eastAsia="方正黑体_GBK" w:cs="Times New Roman"/>
          <w:color w:val="auto"/>
          <w:sz w:val="36"/>
          <w:szCs w:val="36"/>
          <w:lang w:eastAsia="zh-CN"/>
        </w:rPr>
        <w:t>省级</w:t>
      </w:r>
      <w:r>
        <w:rPr>
          <w:rFonts w:hint="default" w:ascii="Times New Roman" w:hAnsi="Times New Roman" w:eastAsia="方正黑体_GBK" w:cs="Times New Roman"/>
          <w:color w:val="auto"/>
          <w:sz w:val="36"/>
          <w:szCs w:val="36"/>
        </w:rPr>
        <w:t>经费分配表</w:t>
      </w:r>
    </w:p>
    <w:p w14:paraId="03012E9B">
      <w:pPr>
        <w:ind w:firstLine="6440" w:firstLineChars="2300"/>
        <w:jc w:val="righ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单位:万元</w:t>
      </w:r>
    </w:p>
    <w:tbl>
      <w:tblPr>
        <w:tblStyle w:val="4"/>
        <w:tblpPr w:leftFromText="180" w:rightFromText="180" w:vertAnchor="text" w:horzAnchor="page" w:tblpX="1470" w:tblpY="4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2998"/>
        <w:gridCol w:w="2659"/>
        <w:gridCol w:w="2659"/>
        <w:gridCol w:w="3070"/>
        <w:gridCol w:w="2239"/>
      </w:tblGrid>
      <w:tr w14:paraId="2861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0" w:type="pct"/>
            <w:tcBorders>
              <w:top w:val="single" w:color="auto" w:sz="4" w:space="0"/>
              <w:left w:val="single" w:color="auto" w:sz="4" w:space="0"/>
              <w:bottom w:val="single" w:color="auto" w:sz="4" w:space="0"/>
              <w:right w:val="single" w:color="auto" w:sz="4" w:space="0"/>
            </w:tcBorders>
            <w:noWrap w:val="0"/>
            <w:vAlign w:val="center"/>
          </w:tcPr>
          <w:p w14:paraId="69EC97B8">
            <w:pPr>
              <w:jc w:val="center"/>
              <w:rPr>
                <w:rFonts w:hint="default" w:ascii="Times New Roman" w:hAnsi="Times New Roman" w:eastAsia="方正黑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序号</w:t>
            </w:r>
          </w:p>
        </w:tc>
        <w:tc>
          <w:tcPr>
            <w:tcW w:w="1014" w:type="pct"/>
            <w:tcBorders>
              <w:top w:val="single" w:color="auto" w:sz="4" w:space="0"/>
              <w:left w:val="nil"/>
              <w:bottom w:val="single" w:color="auto" w:sz="4" w:space="0"/>
              <w:right w:val="single" w:color="auto" w:sz="4" w:space="0"/>
            </w:tcBorders>
            <w:noWrap w:val="0"/>
            <w:vAlign w:val="center"/>
          </w:tcPr>
          <w:p w14:paraId="4372F812">
            <w:pPr>
              <w:jc w:val="center"/>
              <w:rPr>
                <w:rFonts w:hint="eastAsia" w:ascii="Times New Roman" w:hAnsi="Times New Roman" w:eastAsia="方正黑体_GBK" w:cs="Times New Roman"/>
                <w:color w:val="auto"/>
                <w:kern w:val="2"/>
                <w:sz w:val="28"/>
                <w:szCs w:val="28"/>
                <w:lang w:val="en-US" w:eastAsia="zh-CN" w:bidi="ar-SA"/>
              </w:rPr>
            </w:pPr>
            <w:r>
              <w:rPr>
                <w:rFonts w:hint="eastAsia" w:ascii="Times New Roman" w:hAnsi="Times New Roman" w:eastAsia="方正黑体_GBK" w:cs="Times New Roman"/>
                <w:color w:val="auto"/>
                <w:sz w:val="28"/>
                <w:szCs w:val="28"/>
                <w:lang w:val="en-US" w:eastAsia="zh-CN"/>
              </w:rPr>
              <w:t>单位</w:t>
            </w:r>
          </w:p>
        </w:tc>
        <w:tc>
          <w:tcPr>
            <w:tcW w:w="899" w:type="pct"/>
            <w:tcBorders>
              <w:top w:val="single" w:color="auto" w:sz="4" w:space="0"/>
              <w:left w:val="nil"/>
              <w:bottom w:val="single" w:color="auto" w:sz="4" w:space="0"/>
              <w:right w:val="single" w:color="auto" w:sz="4" w:space="0"/>
            </w:tcBorders>
            <w:noWrap w:val="0"/>
            <w:vAlign w:val="center"/>
          </w:tcPr>
          <w:p w14:paraId="4B1B38D0">
            <w:pPr>
              <w:jc w:val="center"/>
              <w:rPr>
                <w:rFonts w:hint="default" w:ascii="Times New Roman" w:hAnsi="Times New Roman" w:eastAsia="方正黑体_GBK" w:cs="Times New Roman"/>
                <w:color w:val="auto"/>
                <w:sz w:val="28"/>
                <w:szCs w:val="28"/>
                <w:lang w:eastAsia="zh-CN"/>
              </w:rPr>
            </w:pPr>
            <w:r>
              <w:rPr>
                <w:rFonts w:hint="eastAsia" w:ascii="Times New Roman" w:hAnsi="Times New Roman" w:eastAsia="方正黑体_GBK" w:cs="Times New Roman"/>
                <w:color w:val="auto"/>
                <w:sz w:val="24"/>
                <w:szCs w:val="24"/>
                <w:lang w:eastAsia="zh-CN"/>
              </w:rPr>
              <w:t>结算补助资金</w:t>
            </w:r>
          </w:p>
        </w:tc>
        <w:tc>
          <w:tcPr>
            <w:tcW w:w="899" w:type="pct"/>
            <w:tcBorders>
              <w:top w:val="single" w:color="auto" w:sz="4" w:space="0"/>
              <w:left w:val="nil"/>
              <w:bottom w:val="single" w:color="auto" w:sz="4" w:space="0"/>
              <w:right w:val="single" w:color="auto" w:sz="4" w:space="0"/>
            </w:tcBorders>
            <w:noWrap w:val="0"/>
            <w:vAlign w:val="center"/>
          </w:tcPr>
          <w:p w14:paraId="41F5609E">
            <w:pPr>
              <w:jc w:val="center"/>
              <w:rPr>
                <w:rFonts w:hint="default" w:ascii="Times New Roman" w:hAnsi="Times New Roman" w:eastAsia="方正黑体_GBK" w:cs="Times New Roman"/>
                <w:color w:val="auto"/>
                <w:sz w:val="24"/>
                <w:szCs w:val="24"/>
                <w:lang w:eastAsia="zh-CN"/>
              </w:rPr>
            </w:pPr>
            <w:r>
              <w:rPr>
                <w:rFonts w:hint="eastAsia" w:ascii="Times New Roman" w:hAnsi="Times New Roman" w:eastAsia="方正黑体_GBK" w:cs="Times New Roman"/>
                <w:color w:val="auto"/>
                <w:sz w:val="24"/>
                <w:szCs w:val="24"/>
                <w:lang w:eastAsia="zh-CN"/>
              </w:rPr>
              <w:t>调标补助资金</w:t>
            </w:r>
          </w:p>
        </w:tc>
        <w:tc>
          <w:tcPr>
            <w:tcW w:w="1038" w:type="pct"/>
            <w:tcBorders>
              <w:top w:val="single" w:color="auto" w:sz="4" w:space="0"/>
              <w:left w:val="nil"/>
              <w:bottom w:val="single" w:color="auto" w:sz="4" w:space="0"/>
              <w:right w:val="single" w:color="auto" w:sz="4" w:space="0"/>
            </w:tcBorders>
            <w:noWrap w:val="0"/>
            <w:vAlign w:val="center"/>
          </w:tcPr>
          <w:p w14:paraId="118FB7A8">
            <w:pPr>
              <w:jc w:val="center"/>
              <w:rPr>
                <w:rFonts w:hint="default" w:ascii="Times New Roman" w:hAnsi="Times New Roman" w:eastAsia="方正黑体_GBK" w:cs="Times New Roman"/>
                <w:color w:val="auto"/>
                <w:sz w:val="24"/>
                <w:szCs w:val="24"/>
                <w:lang w:val="en" w:eastAsia="zh-CN"/>
              </w:rPr>
            </w:pPr>
            <w:r>
              <w:rPr>
                <w:rFonts w:hint="eastAsia" w:ascii="Times New Roman" w:hAnsi="Times New Roman" w:eastAsia="方正黑体_GBK" w:cs="Times New Roman"/>
                <w:color w:val="auto"/>
                <w:sz w:val="24"/>
                <w:szCs w:val="24"/>
                <w:lang w:eastAsia="zh-CN"/>
              </w:rPr>
              <w:t>此次下达总金额</w:t>
            </w:r>
          </w:p>
        </w:tc>
        <w:tc>
          <w:tcPr>
            <w:tcW w:w="757" w:type="pct"/>
            <w:tcBorders>
              <w:top w:val="single" w:color="auto" w:sz="4" w:space="0"/>
              <w:left w:val="nil"/>
              <w:right w:val="single" w:color="auto" w:sz="4" w:space="0"/>
            </w:tcBorders>
            <w:noWrap w:val="0"/>
            <w:vAlign w:val="top"/>
          </w:tcPr>
          <w:p w14:paraId="0BB208BD">
            <w:pPr>
              <w:spacing w:line="10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备注</w:t>
            </w:r>
          </w:p>
        </w:tc>
      </w:tr>
      <w:tr w14:paraId="1328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390" w:type="pct"/>
            <w:tcBorders>
              <w:top w:val="single" w:color="auto" w:sz="4" w:space="0"/>
              <w:left w:val="single" w:color="auto" w:sz="4" w:space="0"/>
              <w:bottom w:val="single" w:color="auto" w:sz="4" w:space="0"/>
              <w:right w:val="single" w:color="auto" w:sz="4" w:space="0"/>
            </w:tcBorders>
            <w:noWrap w:val="0"/>
            <w:vAlign w:val="top"/>
          </w:tcPr>
          <w:p w14:paraId="477C6C12">
            <w:pPr>
              <w:jc w:val="center"/>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p>
        </w:tc>
        <w:tc>
          <w:tcPr>
            <w:tcW w:w="1014" w:type="pct"/>
            <w:tcBorders>
              <w:top w:val="single" w:color="auto" w:sz="4" w:space="0"/>
              <w:left w:val="nil"/>
              <w:bottom w:val="single" w:color="auto" w:sz="4" w:space="0"/>
              <w:right w:val="single" w:color="auto" w:sz="4" w:space="0"/>
            </w:tcBorders>
            <w:noWrap w:val="0"/>
            <w:vAlign w:val="center"/>
          </w:tcPr>
          <w:p w14:paraId="12DF2AE9">
            <w:pPr>
              <w:jc w:val="center"/>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黑体_GBK" w:cs="Times New Roman"/>
                <w:color w:val="auto"/>
                <w:sz w:val="24"/>
                <w:szCs w:val="24"/>
                <w:lang w:eastAsia="zh-CN"/>
              </w:rPr>
              <w:t>梁河县退役军人事务局</w:t>
            </w:r>
          </w:p>
        </w:tc>
        <w:tc>
          <w:tcPr>
            <w:tcW w:w="899" w:type="pct"/>
            <w:tcBorders>
              <w:top w:val="single" w:color="auto" w:sz="4" w:space="0"/>
              <w:left w:val="nil"/>
              <w:bottom w:val="single" w:color="auto" w:sz="4" w:space="0"/>
              <w:right w:val="single" w:color="auto" w:sz="4" w:space="0"/>
            </w:tcBorders>
            <w:noWrap w:val="0"/>
            <w:vAlign w:val="center"/>
          </w:tcPr>
          <w:p w14:paraId="497BCCF6">
            <w:pPr>
              <w:keepNext w:val="0"/>
              <w:keepLines w:val="0"/>
              <w:widowControl/>
              <w:suppressLineNumbers w:val="0"/>
              <w:jc w:val="center"/>
              <w:textAlignment w:val="center"/>
              <w:rPr>
                <w:rFonts w:hint="default" w:ascii="Times New Roman" w:hAnsi="Times New Roman" w:eastAsia="方正仿宋_GBK" w:cs="Times New Roman"/>
                <w:b w:val="0"/>
                <w:bCs/>
                <w:color w:val="auto"/>
                <w:sz w:val="28"/>
                <w:szCs w:val="28"/>
                <w:lang w:val="en-US" w:eastAsia="zh-CN"/>
              </w:rPr>
            </w:pPr>
            <w:r>
              <w:rPr>
                <w:rFonts w:hint="eastAsia" w:ascii="Times New Roman" w:hAnsi="Times New Roman" w:eastAsia="方正仿宋_GBK" w:cs="Times New Roman"/>
                <w:b w:val="0"/>
                <w:bCs/>
                <w:color w:val="auto"/>
                <w:sz w:val="28"/>
                <w:szCs w:val="28"/>
                <w:lang w:val="en-US" w:eastAsia="zh-CN"/>
              </w:rPr>
              <w:t>6.70</w:t>
            </w:r>
          </w:p>
        </w:tc>
        <w:tc>
          <w:tcPr>
            <w:tcW w:w="899" w:type="pct"/>
            <w:tcBorders>
              <w:top w:val="single" w:color="auto" w:sz="4" w:space="0"/>
              <w:left w:val="nil"/>
              <w:bottom w:val="single" w:color="auto" w:sz="4" w:space="0"/>
              <w:right w:val="single" w:color="auto" w:sz="4" w:space="0"/>
            </w:tcBorders>
            <w:noWrap w:val="0"/>
            <w:vAlign w:val="center"/>
          </w:tcPr>
          <w:p w14:paraId="0B0E5807">
            <w:pPr>
              <w:keepNext w:val="0"/>
              <w:keepLines w:val="0"/>
              <w:widowControl/>
              <w:suppressLineNumbers w:val="0"/>
              <w:jc w:val="center"/>
              <w:textAlignment w:val="center"/>
              <w:rPr>
                <w:rFonts w:hint="default" w:ascii="Times New Roman" w:hAnsi="Times New Roman" w:eastAsia="方正仿宋_GBK" w:cs="Times New Roman"/>
                <w:b w:val="0"/>
                <w:bCs/>
                <w:color w:val="auto"/>
                <w:sz w:val="28"/>
                <w:szCs w:val="28"/>
                <w:lang w:val="en" w:eastAsia="zh-CN"/>
              </w:rPr>
            </w:pPr>
            <w:r>
              <w:rPr>
                <w:rFonts w:hint="eastAsia" w:ascii="Times New Roman" w:hAnsi="Times New Roman" w:eastAsia="方正仿宋_GBK" w:cs="Times New Roman"/>
                <w:b w:val="0"/>
                <w:bCs/>
                <w:color w:val="auto"/>
                <w:sz w:val="28"/>
                <w:szCs w:val="28"/>
                <w:lang w:val="en-US" w:eastAsia="zh-CN"/>
              </w:rPr>
              <w:t>1.40</w:t>
            </w:r>
          </w:p>
        </w:tc>
        <w:tc>
          <w:tcPr>
            <w:tcW w:w="1038" w:type="pct"/>
            <w:tcBorders>
              <w:top w:val="single" w:color="auto" w:sz="4" w:space="0"/>
              <w:left w:val="nil"/>
              <w:bottom w:val="single" w:color="auto" w:sz="4" w:space="0"/>
              <w:right w:val="single" w:color="auto" w:sz="4" w:space="0"/>
            </w:tcBorders>
            <w:noWrap w:val="0"/>
            <w:vAlign w:val="center"/>
          </w:tcPr>
          <w:p w14:paraId="667671F3">
            <w:pPr>
              <w:keepNext w:val="0"/>
              <w:keepLines w:val="0"/>
              <w:widowControl/>
              <w:suppressLineNumbers w:val="0"/>
              <w:jc w:val="center"/>
              <w:textAlignment w:val="center"/>
              <w:rPr>
                <w:rFonts w:hint="default" w:ascii="Times New Roman" w:hAnsi="Times New Roman" w:eastAsia="方正仿宋_GBK" w:cs="Times New Roman"/>
                <w:b w:val="0"/>
                <w:bCs/>
                <w:color w:val="auto"/>
                <w:sz w:val="28"/>
                <w:szCs w:val="28"/>
                <w:lang w:val="en-US" w:eastAsia="zh-CN"/>
              </w:rPr>
            </w:pPr>
            <w:r>
              <w:rPr>
                <w:rFonts w:hint="eastAsia" w:ascii="Times New Roman" w:hAnsi="Times New Roman" w:eastAsia="方正仿宋_GBK" w:cs="Times New Roman"/>
                <w:b w:val="0"/>
                <w:bCs/>
                <w:color w:val="auto"/>
                <w:sz w:val="28"/>
                <w:szCs w:val="28"/>
                <w:lang w:val="en-US" w:eastAsia="zh-CN"/>
              </w:rPr>
              <w:t>8.10</w:t>
            </w:r>
          </w:p>
        </w:tc>
        <w:tc>
          <w:tcPr>
            <w:tcW w:w="757" w:type="pct"/>
            <w:tcBorders>
              <w:left w:val="nil"/>
              <w:right w:val="single" w:color="auto" w:sz="4" w:space="0"/>
            </w:tcBorders>
            <w:noWrap w:val="0"/>
            <w:vAlign w:val="top"/>
          </w:tcPr>
          <w:p w14:paraId="646C8689">
            <w:pPr>
              <w:widowControl/>
              <w:jc w:val="left"/>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按2023年退役军人事务部审定人数分配资金</w:t>
            </w:r>
          </w:p>
        </w:tc>
      </w:tr>
    </w:tbl>
    <w:p w14:paraId="0CA35E94">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21539A9">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776AC5C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39A68A1">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134" w:right="1134" w:bottom="1134" w:left="1134" w:header="851" w:footer="992" w:gutter="0"/>
          <w:pgNumType w:fmt="decimal"/>
          <w:cols w:space="0" w:num="1"/>
          <w:rtlGutter w:val="0"/>
          <w:docGrid w:type="lines" w:linePitch="332" w:charSpace="0"/>
        </w:sectPr>
      </w:pPr>
    </w:p>
    <w:p w14:paraId="4F8242C3">
      <w:pPr>
        <w:rPr>
          <w:rFonts w:hint="default" w:ascii="Times New Roman" w:hAnsi="Times New Roman" w:eastAsia="方正黑体_GBK" w:cs="Times New Roman"/>
          <w:b w:val="0"/>
          <w:bCs/>
          <w:color w:val="auto"/>
          <w:sz w:val="32"/>
        </w:rPr>
      </w:pPr>
      <w:r>
        <w:rPr>
          <w:rFonts w:hint="default" w:ascii="Times New Roman" w:hAnsi="Times New Roman" w:eastAsia="方正黑体_GBK" w:cs="Times New Roman"/>
          <w:b w:val="0"/>
          <w:bCs/>
          <w:color w:val="auto"/>
          <w:sz w:val="32"/>
        </w:rPr>
        <w:t>附件2</w:t>
      </w:r>
    </w:p>
    <w:p w14:paraId="1DF3644F">
      <w:pPr>
        <w:jc w:val="cente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2023年中央优抚对象补助经费预算（第三批）绩效目标表</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370"/>
        <w:gridCol w:w="1665"/>
        <w:gridCol w:w="3711"/>
        <w:gridCol w:w="2194"/>
      </w:tblGrid>
      <w:tr w14:paraId="66FD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pct"/>
            <w:gridSpan w:val="3"/>
            <w:tcBorders>
              <w:top w:val="single" w:color="auto" w:sz="4" w:space="0"/>
              <w:left w:val="single" w:color="auto" w:sz="4" w:space="0"/>
              <w:bottom w:val="single" w:color="auto" w:sz="4" w:space="0"/>
              <w:right w:val="single" w:color="auto" w:sz="4" w:space="0"/>
            </w:tcBorders>
            <w:noWrap w:val="0"/>
            <w:vAlign w:val="center"/>
          </w:tcPr>
          <w:p w14:paraId="1C85AFAC">
            <w:pPr>
              <w:jc w:val="center"/>
              <w:rPr>
                <w:rFonts w:hint="default" w:ascii="Times New Roman" w:hAnsi="Times New Roman" w:eastAsia="方正仿宋_GBK" w:cs="Times New Roman"/>
                <w:color w:val="auto"/>
                <w:kern w:val="2"/>
                <w:sz w:val="28"/>
                <w:szCs w:val="28"/>
                <w:lang w:eastAsia="zh-CN"/>
              </w:rPr>
            </w:pPr>
            <w:r>
              <w:rPr>
                <w:rFonts w:hint="default" w:ascii="Times New Roman" w:hAnsi="Times New Roman" w:eastAsia="方正仿宋_GBK" w:cs="Times New Roman"/>
                <w:color w:val="auto"/>
                <w:kern w:val="0"/>
                <w:sz w:val="28"/>
                <w:szCs w:val="28"/>
              </w:rPr>
              <w:t>项目名称</w:t>
            </w:r>
          </w:p>
        </w:tc>
        <w:tc>
          <w:tcPr>
            <w:tcW w:w="2996" w:type="pct"/>
            <w:gridSpan w:val="2"/>
            <w:tcBorders>
              <w:top w:val="single" w:color="auto" w:sz="4" w:space="0"/>
              <w:left w:val="single" w:color="auto" w:sz="4" w:space="0"/>
              <w:bottom w:val="single" w:color="auto" w:sz="4" w:space="0"/>
              <w:right w:val="single" w:color="auto" w:sz="4" w:space="0"/>
            </w:tcBorders>
            <w:noWrap w:val="0"/>
            <w:vAlign w:val="center"/>
          </w:tcPr>
          <w:p w14:paraId="107F84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lang w:eastAsia="zh-CN"/>
              </w:rPr>
              <w:t>2023年中央优抚对象补助经费预算（第三批）</w:t>
            </w:r>
          </w:p>
        </w:tc>
      </w:tr>
      <w:tr w14:paraId="6DF5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03" w:type="pct"/>
            <w:gridSpan w:val="3"/>
            <w:tcBorders>
              <w:top w:val="single" w:color="auto" w:sz="4" w:space="0"/>
              <w:left w:val="single" w:color="auto" w:sz="4" w:space="0"/>
              <w:bottom w:val="single" w:color="auto" w:sz="4" w:space="0"/>
              <w:right w:val="single" w:color="auto" w:sz="4" w:space="0"/>
            </w:tcBorders>
            <w:noWrap w:val="0"/>
            <w:vAlign w:val="top"/>
          </w:tcPr>
          <w:p w14:paraId="31E8EB60">
            <w:pPr>
              <w:jc w:val="center"/>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spacing w:val="0"/>
                <w:kern w:val="0"/>
                <w:sz w:val="28"/>
                <w:szCs w:val="28"/>
                <w:lang w:eastAsia="zh-CN"/>
              </w:rPr>
              <w:t>项目实施</w:t>
            </w:r>
            <w:r>
              <w:rPr>
                <w:rFonts w:hint="default" w:ascii="Times New Roman" w:hAnsi="Times New Roman" w:eastAsia="方正仿宋_GBK" w:cs="Times New Roman"/>
                <w:color w:val="auto"/>
                <w:spacing w:val="0"/>
                <w:kern w:val="0"/>
                <w:sz w:val="28"/>
                <w:szCs w:val="28"/>
              </w:rPr>
              <w:t>部门</w:t>
            </w:r>
          </w:p>
        </w:tc>
        <w:tc>
          <w:tcPr>
            <w:tcW w:w="2996" w:type="pct"/>
            <w:gridSpan w:val="2"/>
            <w:tcBorders>
              <w:top w:val="single" w:color="auto" w:sz="4" w:space="0"/>
              <w:left w:val="single" w:color="auto" w:sz="4" w:space="0"/>
              <w:bottom w:val="single" w:color="auto" w:sz="4" w:space="0"/>
              <w:right w:val="single" w:color="auto" w:sz="4" w:space="0"/>
            </w:tcBorders>
            <w:noWrap w:val="0"/>
            <w:vAlign w:val="center"/>
          </w:tcPr>
          <w:p w14:paraId="251B73A1">
            <w:pPr>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8"/>
                <w:szCs w:val="28"/>
              </w:rPr>
              <w:t>德宏州</w:t>
            </w:r>
            <w:r>
              <w:rPr>
                <w:rFonts w:hint="default" w:ascii="Times New Roman" w:hAnsi="Times New Roman" w:eastAsia="方正仿宋_GBK" w:cs="Times New Roman"/>
                <w:color w:val="auto"/>
                <w:kern w:val="0"/>
                <w:sz w:val="28"/>
                <w:szCs w:val="28"/>
                <w:lang w:eastAsia="zh-CN"/>
              </w:rPr>
              <w:t>退役军人事务局</w:t>
            </w:r>
          </w:p>
        </w:tc>
      </w:tr>
      <w:tr w14:paraId="7D62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03" w:type="pct"/>
            <w:gridSpan w:val="3"/>
            <w:tcBorders>
              <w:top w:val="nil"/>
              <w:left w:val="single" w:color="auto" w:sz="4" w:space="0"/>
              <w:bottom w:val="single" w:color="auto" w:sz="4" w:space="0"/>
              <w:right w:val="single" w:color="auto" w:sz="4" w:space="0"/>
            </w:tcBorders>
            <w:noWrap w:val="0"/>
            <w:vAlign w:val="top"/>
          </w:tcPr>
          <w:p w14:paraId="3E88172F">
            <w:pPr>
              <w:jc w:val="center"/>
              <w:rPr>
                <w:rFonts w:hint="eastAsia"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8"/>
                <w:szCs w:val="28"/>
                <w:lang w:eastAsia="zh-CN"/>
              </w:rPr>
              <w:t>项目</w:t>
            </w:r>
            <w:r>
              <w:rPr>
                <w:rFonts w:hint="default" w:ascii="Times New Roman" w:hAnsi="Times New Roman" w:eastAsia="方正仿宋_GBK" w:cs="Times New Roman"/>
                <w:color w:val="auto"/>
                <w:kern w:val="0"/>
                <w:sz w:val="28"/>
                <w:szCs w:val="28"/>
              </w:rPr>
              <w:t>资金</w:t>
            </w:r>
            <w:r>
              <w:rPr>
                <w:rFonts w:hint="eastAsia" w:ascii="Times New Roman" w:hAnsi="Times New Roman" w:eastAsia="方正仿宋_GBK" w:cs="Times New Roman"/>
                <w:color w:val="auto"/>
                <w:kern w:val="0"/>
                <w:sz w:val="28"/>
                <w:szCs w:val="28"/>
                <w:lang w:eastAsia="zh-CN"/>
              </w:rPr>
              <w:t>（万元）</w:t>
            </w:r>
          </w:p>
        </w:tc>
        <w:tc>
          <w:tcPr>
            <w:tcW w:w="2996" w:type="pct"/>
            <w:gridSpan w:val="2"/>
            <w:tcBorders>
              <w:top w:val="single" w:color="auto" w:sz="4" w:space="0"/>
              <w:left w:val="single" w:color="auto" w:sz="4" w:space="0"/>
              <w:bottom w:val="single" w:color="auto" w:sz="4" w:space="0"/>
              <w:right w:val="single" w:color="auto" w:sz="4" w:space="0"/>
            </w:tcBorders>
            <w:noWrap w:val="0"/>
            <w:vAlign w:val="center"/>
          </w:tcPr>
          <w:p w14:paraId="1E96E0FB">
            <w:pPr>
              <w:jc w:val="center"/>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b w:val="0"/>
                <w:bCs/>
                <w:color w:val="auto"/>
                <w:sz w:val="28"/>
                <w:szCs w:val="28"/>
                <w:lang w:val="en-US" w:eastAsia="zh-CN"/>
              </w:rPr>
              <w:t>270.35</w:t>
            </w:r>
          </w:p>
        </w:tc>
      </w:tr>
      <w:tr w14:paraId="7228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63" w:type="pct"/>
            <w:tcBorders>
              <w:top w:val="single" w:color="auto" w:sz="4" w:space="0"/>
              <w:left w:val="single" w:color="auto" w:sz="4" w:space="0"/>
              <w:bottom w:val="single" w:color="auto" w:sz="4" w:space="0"/>
              <w:right w:val="single" w:color="auto" w:sz="4" w:space="0"/>
            </w:tcBorders>
            <w:noWrap w:val="0"/>
            <w:vAlign w:val="top"/>
          </w:tcPr>
          <w:p w14:paraId="7A39268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年度总体目标</w:t>
            </w:r>
          </w:p>
        </w:tc>
        <w:tc>
          <w:tcPr>
            <w:tcW w:w="4536" w:type="pct"/>
            <w:gridSpan w:val="4"/>
            <w:tcBorders>
              <w:top w:val="single" w:color="auto" w:sz="4" w:space="0"/>
              <w:left w:val="nil"/>
              <w:bottom w:val="single" w:color="auto" w:sz="4" w:space="0"/>
              <w:right w:val="single" w:color="auto" w:sz="4" w:space="0"/>
            </w:tcBorders>
            <w:noWrap w:val="0"/>
            <w:vAlign w:val="top"/>
          </w:tcPr>
          <w:p w14:paraId="3E8DE4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rPr>
              <w:t>向全州符合享受</w:t>
            </w:r>
            <w:r>
              <w:rPr>
                <w:rFonts w:hint="eastAsia" w:ascii="Times New Roman" w:hAnsi="Times New Roman" w:eastAsia="方正仿宋_GBK" w:cs="Times New Roman"/>
                <w:color w:val="auto"/>
                <w:kern w:val="0"/>
                <w:sz w:val="24"/>
                <w:szCs w:val="24"/>
                <w:lang w:eastAsia="zh-CN"/>
              </w:rPr>
              <w:t>补助经费</w:t>
            </w:r>
            <w:r>
              <w:rPr>
                <w:rFonts w:hint="default" w:ascii="Times New Roman" w:hAnsi="Times New Roman" w:eastAsia="方正仿宋_GBK" w:cs="Times New Roman"/>
                <w:color w:val="auto"/>
                <w:kern w:val="0"/>
                <w:sz w:val="24"/>
                <w:szCs w:val="24"/>
              </w:rPr>
              <w:t>条件的重点优抚对象发放补助</w:t>
            </w:r>
            <w:r>
              <w:rPr>
                <w:rFonts w:hint="default" w:ascii="Times New Roman" w:hAnsi="Times New Roman" w:eastAsia="方正仿宋_GBK" w:cs="Times New Roman"/>
                <w:color w:val="auto"/>
                <w:kern w:val="0"/>
                <w:sz w:val="24"/>
                <w:szCs w:val="24"/>
                <w:lang w:eastAsia="zh-CN"/>
              </w:rPr>
              <w:t>，通过发放优抚对象补助经费，使优抚对象等人员的基本生活得到有效保障。</w:t>
            </w:r>
          </w:p>
        </w:tc>
      </w:tr>
      <w:tr w14:paraId="479D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pct"/>
            <w:vMerge w:val="restart"/>
            <w:tcBorders>
              <w:top w:val="nil"/>
              <w:left w:val="single" w:color="auto" w:sz="4" w:space="0"/>
              <w:bottom w:val="single" w:color="auto" w:sz="4" w:space="0"/>
              <w:right w:val="single" w:color="auto" w:sz="4" w:space="0"/>
            </w:tcBorders>
            <w:noWrap w:val="0"/>
            <w:vAlign w:val="top"/>
          </w:tcPr>
          <w:p w14:paraId="0A115FC9">
            <w:pPr>
              <w:jc w:val="center"/>
              <w:rPr>
                <w:rFonts w:hint="default" w:ascii="Times New Roman" w:hAnsi="Times New Roman" w:eastAsia="方正仿宋_GBK" w:cs="Times New Roman"/>
                <w:color w:val="auto"/>
                <w:kern w:val="2"/>
                <w:sz w:val="21"/>
              </w:rPr>
            </w:pPr>
          </w:p>
          <w:p w14:paraId="7C118DE9">
            <w:pPr>
              <w:jc w:val="center"/>
              <w:rPr>
                <w:rFonts w:hint="default" w:ascii="Times New Roman" w:hAnsi="Times New Roman" w:eastAsia="方正仿宋_GBK" w:cs="Times New Roman"/>
                <w:color w:val="auto"/>
                <w:kern w:val="0"/>
                <w:sz w:val="20"/>
              </w:rPr>
            </w:pPr>
          </w:p>
          <w:p w14:paraId="49662B48">
            <w:pPr>
              <w:jc w:val="center"/>
              <w:rPr>
                <w:rFonts w:hint="default" w:ascii="Times New Roman" w:hAnsi="Times New Roman" w:eastAsia="方正仿宋_GBK" w:cs="Times New Roman"/>
                <w:color w:val="auto"/>
                <w:kern w:val="0"/>
                <w:sz w:val="28"/>
                <w:szCs w:val="28"/>
              </w:rPr>
            </w:pPr>
          </w:p>
          <w:p w14:paraId="516D2039">
            <w:pPr>
              <w:jc w:val="center"/>
              <w:rPr>
                <w:rFonts w:hint="default" w:ascii="Times New Roman" w:hAnsi="Times New Roman" w:eastAsia="方正仿宋_GBK" w:cs="Times New Roman"/>
                <w:color w:val="auto"/>
                <w:kern w:val="0"/>
                <w:sz w:val="28"/>
                <w:szCs w:val="28"/>
              </w:rPr>
            </w:pPr>
          </w:p>
          <w:p w14:paraId="28CC443D">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绩</w:t>
            </w:r>
          </w:p>
          <w:p w14:paraId="0520A211">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效</w:t>
            </w:r>
          </w:p>
          <w:p w14:paraId="59F665F3">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目</w:t>
            </w:r>
          </w:p>
          <w:p w14:paraId="0F38E5A4">
            <w:pPr>
              <w:jc w:val="center"/>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0"/>
                <w:sz w:val="28"/>
                <w:szCs w:val="28"/>
              </w:rPr>
              <w:t>标</w:t>
            </w:r>
          </w:p>
        </w:tc>
        <w:tc>
          <w:tcPr>
            <w:tcW w:w="695" w:type="pct"/>
            <w:tcBorders>
              <w:top w:val="single" w:color="auto" w:sz="4" w:space="0"/>
              <w:left w:val="nil"/>
              <w:bottom w:val="single" w:color="auto" w:sz="4" w:space="0"/>
              <w:right w:val="single" w:color="auto" w:sz="4" w:space="0"/>
            </w:tcBorders>
            <w:noWrap w:val="0"/>
            <w:vAlign w:val="center"/>
          </w:tcPr>
          <w:p w14:paraId="0D473D02">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一级指标</w:t>
            </w:r>
          </w:p>
        </w:tc>
        <w:tc>
          <w:tcPr>
            <w:tcW w:w="845" w:type="pct"/>
            <w:tcBorders>
              <w:top w:val="single" w:color="auto" w:sz="4" w:space="0"/>
              <w:left w:val="nil"/>
              <w:bottom w:val="single" w:color="auto" w:sz="4" w:space="0"/>
              <w:right w:val="single" w:color="auto" w:sz="4" w:space="0"/>
            </w:tcBorders>
            <w:noWrap w:val="0"/>
            <w:vAlign w:val="center"/>
          </w:tcPr>
          <w:p w14:paraId="18CEAEC9">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二级指标</w:t>
            </w:r>
          </w:p>
        </w:tc>
        <w:tc>
          <w:tcPr>
            <w:tcW w:w="1883" w:type="pct"/>
            <w:tcBorders>
              <w:top w:val="single" w:color="auto" w:sz="4" w:space="0"/>
              <w:left w:val="nil"/>
              <w:bottom w:val="single" w:color="auto" w:sz="4" w:space="0"/>
              <w:right w:val="single" w:color="auto" w:sz="4" w:space="0"/>
            </w:tcBorders>
            <w:noWrap w:val="0"/>
            <w:vAlign w:val="center"/>
          </w:tcPr>
          <w:p w14:paraId="1CCF7840">
            <w:pPr>
              <w:jc w:val="center"/>
              <w:rPr>
                <w:rFonts w:hint="default" w:ascii="Times New Roman" w:hAnsi="Times New Roman" w:eastAsia="方正仿宋_GBK" w:cs="Times New Roman"/>
                <w:color w:val="auto"/>
                <w:kern w:val="2"/>
                <w:sz w:val="24"/>
                <w:szCs w:val="24"/>
              </w:rPr>
            </w:pPr>
            <w:r>
              <w:rPr>
                <w:rFonts w:hint="eastAsia" w:ascii="Times New Roman" w:hAnsi="Times New Roman" w:eastAsia="方正仿宋_GBK" w:cs="Times New Roman"/>
                <w:color w:val="auto"/>
                <w:kern w:val="0"/>
                <w:sz w:val="24"/>
                <w:szCs w:val="24"/>
                <w:lang w:eastAsia="zh-CN"/>
              </w:rPr>
              <w:t>三</w:t>
            </w:r>
            <w:r>
              <w:rPr>
                <w:rFonts w:hint="default" w:ascii="Times New Roman" w:hAnsi="Times New Roman" w:eastAsia="方正仿宋_GBK" w:cs="Times New Roman"/>
                <w:color w:val="auto"/>
                <w:kern w:val="0"/>
                <w:sz w:val="24"/>
                <w:szCs w:val="24"/>
              </w:rPr>
              <w:t>级指标</w:t>
            </w:r>
          </w:p>
        </w:tc>
        <w:tc>
          <w:tcPr>
            <w:tcW w:w="1112" w:type="pct"/>
            <w:tcBorders>
              <w:top w:val="single" w:color="auto" w:sz="4" w:space="0"/>
              <w:left w:val="nil"/>
              <w:bottom w:val="single" w:color="auto" w:sz="4" w:space="0"/>
              <w:right w:val="single" w:color="auto" w:sz="4" w:space="0"/>
            </w:tcBorders>
            <w:noWrap w:val="0"/>
            <w:vAlign w:val="center"/>
          </w:tcPr>
          <w:p w14:paraId="393CBDDA">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指标值</w:t>
            </w:r>
          </w:p>
        </w:tc>
      </w:tr>
      <w:tr w14:paraId="4E88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067C33C9">
            <w:pPr>
              <w:widowControl/>
              <w:jc w:val="left"/>
              <w:rPr>
                <w:rFonts w:hint="default" w:ascii="Times New Roman" w:hAnsi="Times New Roman" w:eastAsia="方正仿宋_GBK" w:cs="Times New Roman"/>
                <w:color w:val="auto"/>
                <w:kern w:val="2"/>
                <w:sz w:val="21"/>
              </w:rPr>
            </w:pPr>
          </w:p>
        </w:tc>
        <w:tc>
          <w:tcPr>
            <w:tcW w:w="695" w:type="pct"/>
            <w:vMerge w:val="restart"/>
            <w:tcBorders>
              <w:top w:val="nil"/>
              <w:left w:val="nil"/>
              <w:bottom w:val="single" w:color="auto" w:sz="4" w:space="0"/>
              <w:right w:val="single" w:color="auto" w:sz="4" w:space="0"/>
            </w:tcBorders>
            <w:noWrap w:val="0"/>
            <w:vAlign w:val="center"/>
          </w:tcPr>
          <w:p w14:paraId="76883723">
            <w:pPr>
              <w:jc w:val="center"/>
              <w:rPr>
                <w:rFonts w:hint="default" w:ascii="Times New Roman" w:hAnsi="Times New Roman" w:eastAsia="方正仿宋_GBK" w:cs="Times New Roman"/>
                <w:color w:val="auto"/>
                <w:kern w:val="2"/>
                <w:sz w:val="24"/>
                <w:szCs w:val="24"/>
              </w:rPr>
            </w:pPr>
          </w:p>
          <w:p w14:paraId="77B130C8">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产出指标</w:t>
            </w:r>
          </w:p>
        </w:tc>
        <w:tc>
          <w:tcPr>
            <w:tcW w:w="845" w:type="pct"/>
            <w:tcBorders>
              <w:top w:val="nil"/>
              <w:left w:val="nil"/>
              <w:right w:val="single" w:color="auto" w:sz="4" w:space="0"/>
            </w:tcBorders>
            <w:noWrap w:val="0"/>
            <w:vAlign w:val="center"/>
          </w:tcPr>
          <w:p w14:paraId="05E1007B">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数量指标</w:t>
            </w:r>
          </w:p>
        </w:tc>
        <w:tc>
          <w:tcPr>
            <w:tcW w:w="1883" w:type="pct"/>
            <w:tcBorders>
              <w:top w:val="single" w:color="auto" w:sz="4" w:space="0"/>
              <w:left w:val="nil"/>
              <w:right w:val="single" w:color="auto" w:sz="4" w:space="0"/>
            </w:tcBorders>
            <w:noWrap w:val="0"/>
            <w:vAlign w:val="center"/>
          </w:tcPr>
          <w:p w14:paraId="02128672">
            <w:pPr>
              <w:jc w:val="left"/>
              <w:rPr>
                <w:rFonts w:hint="default" w:ascii="Times New Roman" w:hAnsi="Times New Roman" w:eastAsia="方正仿宋_GBK" w:cs="Times New Roman"/>
                <w:color w:val="auto"/>
                <w:spacing w:val="-20"/>
                <w:kern w:val="2"/>
                <w:sz w:val="24"/>
                <w:szCs w:val="24"/>
                <w:lang w:val="en-US" w:eastAsia="zh-CN"/>
              </w:rPr>
            </w:pPr>
            <w:r>
              <w:rPr>
                <w:rFonts w:hint="eastAsia" w:ascii="Times New Roman" w:hAnsi="Times New Roman" w:eastAsia="方正仿宋_GBK" w:cs="Times New Roman"/>
                <w:color w:val="auto"/>
                <w:spacing w:val="-20"/>
                <w:kern w:val="2"/>
                <w:sz w:val="24"/>
                <w:szCs w:val="24"/>
                <w:lang w:eastAsia="zh-CN"/>
              </w:rPr>
              <w:t>优抚对象补助经费发放人数</w:t>
            </w:r>
          </w:p>
        </w:tc>
        <w:tc>
          <w:tcPr>
            <w:tcW w:w="1112" w:type="pct"/>
            <w:tcBorders>
              <w:top w:val="single" w:color="auto" w:sz="4" w:space="0"/>
              <w:left w:val="nil"/>
              <w:bottom w:val="single" w:color="auto" w:sz="4" w:space="0"/>
              <w:right w:val="single" w:color="auto" w:sz="4" w:space="0"/>
            </w:tcBorders>
            <w:noWrap w:val="0"/>
            <w:vAlign w:val="center"/>
          </w:tcPr>
          <w:p w14:paraId="39B42D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lang w:val="en-US" w:eastAsia="zh-CN"/>
              </w:rPr>
              <w:t>0.4万</w:t>
            </w:r>
            <w:r>
              <w:rPr>
                <w:rFonts w:hint="default" w:ascii="Times New Roman" w:hAnsi="Times New Roman" w:eastAsia="方正仿宋_GBK" w:cs="Times New Roman"/>
                <w:color w:val="auto"/>
                <w:kern w:val="0"/>
                <w:sz w:val="24"/>
                <w:szCs w:val="24"/>
              </w:rPr>
              <w:t>人。</w:t>
            </w:r>
          </w:p>
        </w:tc>
      </w:tr>
      <w:tr w14:paraId="5E24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2C53D30D">
            <w:pPr>
              <w:widowControl/>
              <w:jc w:val="left"/>
              <w:rPr>
                <w:rFonts w:hint="default" w:ascii="Times New Roman" w:hAnsi="Times New Roman" w:eastAsia="方正仿宋_GBK" w:cs="Times New Roman"/>
                <w:color w:val="auto"/>
                <w:kern w:val="2"/>
                <w:sz w:val="21"/>
              </w:rPr>
            </w:pPr>
          </w:p>
        </w:tc>
        <w:tc>
          <w:tcPr>
            <w:tcW w:w="695" w:type="pct"/>
            <w:vMerge w:val="continue"/>
            <w:tcBorders>
              <w:top w:val="nil"/>
              <w:left w:val="nil"/>
              <w:bottom w:val="single" w:color="auto" w:sz="4" w:space="0"/>
              <w:right w:val="single" w:color="auto" w:sz="4" w:space="0"/>
            </w:tcBorders>
            <w:noWrap w:val="0"/>
            <w:vAlign w:val="center"/>
          </w:tcPr>
          <w:p w14:paraId="3B93140E">
            <w:pPr>
              <w:widowControl/>
              <w:jc w:val="center"/>
              <w:rPr>
                <w:rFonts w:hint="default" w:ascii="Times New Roman" w:hAnsi="Times New Roman" w:eastAsia="方正仿宋_GBK" w:cs="Times New Roman"/>
                <w:color w:val="auto"/>
                <w:kern w:val="2"/>
                <w:sz w:val="24"/>
                <w:szCs w:val="24"/>
              </w:rPr>
            </w:pPr>
          </w:p>
        </w:tc>
        <w:tc>
          <w:tcPr>
            <w:tcW w:w="845" w:type="pct"/>
            <w:vMerge w:val="restart"/>
            <w:tcBorders>
              <w:left w:val="nil"/>
              <w:right w:val="single" w:color="auto" w:sz="4" w:space="0"/>
            </w:tcBorders>
            <w:noWrap w:val="0"/>
            <w:vAlign w:val="center"/>
          </w:tcPr>
          <w:p w14:paraId="347759FE">
            <w:pPr>
              <w:jc w:val="center"/>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质量指标</w:t>
            </w:r>
          </w:p>
        </w:tc>
        <w:tc>
          <w:tcPr>
            <w:tcW w:w="1883" w:type="pct"/>
            <w:tcBorders>
              <w:top w:val="single" w:color="auto" w:sz="4" w:space="0"/>
              <w:left w:val="nil"/>
              <w:bottom w:val="single" w:color="auto" w:sz="4" w:space="0"/>
              <w:right w:val="single" w:color="auto" w:sz="4" w:space="0"/>
            </w:tcBorders>
            <w:noWrap w:val="0"/>
            <w:vAlign w:val="center"/>
          </w:tcPr>
          <w:p w14:paraId="19F9C70D">
            <w:pPr>
              <w:jc w:val="left"/>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lang w:eastAsia="zh-CN"/>
              </w:rPr>
              <w:t>经费足额拨付率</w:t>
            </w:r>
          </w:p>
        </w:tc>
        <w:tc>
          <w:tcPr>
            <w:tcW w:w="1112" w:type="pct"/>
            <w:tcBorders>
              <w:top w:val="single" w:color="auto" w:sz="4" w:space="0"/>
              <w:left w:val="nil"/>
              <w:bottom w:val="single" w:color="auto" w:sz="4" w:space="0"/>
              <w:right w:val="single" w:color="auto" w:sz="4" w:space="0"/>
            </w:tcBorders>
            <w:noWrap w:val="0"/>
            <w:vAlign w:val="center"/>
          </w:tcPr>
          <w:p w14:paraId="7577A7B4">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100%</w:t>
            </w:r>
          </w:p>
        </w:tc>
      </w:tr>
      <w:tr w14:paraId="23F6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772FBF44">
            <w:pPr>
              <w:widowControl/>
              <w:jc w:val="left"/>
              <w:rPr>
                <w:rFonts w:hint="default" w:ascii="Times New Roman" w:hAnsi="Times New Roman" w:eastAsia="方正仿宋_GBK" w:cs="Times New Roman"/>
                <w:color w:val="auto"/>
                <w:kern w:val="2"/>
                <w:sz w:val="21"/>
              </w:rPr>
            </w:pPr>
          </w:p>
        </w:tc>
        <w:tc>
          <w:tcPr>
            <w:tcW w:w="695" w:type="pct"/>
            <w:vMerge w:val="continue"/>
            <w:tcBorders>
              <w:top w:val="nil"/>
              <w:left w:val="nil"/>
              <w:bottom w:val="single" w:color="auto" w:sz="4" w:space="0"/>
              <w:right w:val="single" w:color="auto" w:sz="4" w:space="0"/>
            </w:tcBorders>
            <w:noWrap w:val="0"/>
            <w:vAlign w:val="center"/>
          </w:tcPr>
          <w:p w14:paraId="05A7ADA0">
            <w:pPr>
              <w:widowControl/>
              <w:jc w:val="center"/>
              <w:rPr>
                <w:rFonts w:hint="default" w:ascii="Times New Roman" w:hAnsi="Times New Roman" w:eastAsia="方正仿宋_GBK" w:cs="Times New Roman"/>
                <w:color w:val="auto"/>
                <w:kern w:val="2"/>
                <w:sz w:val="24"/>
                <w:szCs w:val="24"/>
              </w:rPr>
            </w:pPr>
          </w:p>
        </w:tc>
        <w:tc>
          <w:tcPr>
            <w:tcW w:w="845" w:type="pct"/>
            <w:vMerge w:val="continue"/>
            <w:tcBorders>
              <w:left w:val="nil"/>
              <w:bottom w:val="single" w:color="auto" w:sz="4" w:space="0"/>
              <w:right w:val="single" w:color="auto" w:sz="4" w:space="0"/>
            </w:tcBorders>
            <w:noWrap w:val="0"/>
            <w:vAlign w:val="center"/>
          </w:tcPr>
          <w:p w14:paraId="51F132A6">
            <w:pPr>
              <w:jc w:val="center"/>
              <w:rPr>
                <w:rFonts w:hint="eastAsia" w:ascii="Times New Roman" w:hAnsi="Times New Roman" w:eastAsia="方正仿宋_GBK" w:cs="Times New Roman"/>
                <w:color w:val="auto"/>
                <w:kern w:val="0"/>
                <w:sz w:val="24"/>
                <w:szCs w:val="24"/>
                <w:lang w:eastAsia="zh-CN"/>
              </w:rPr>
            </w:pPr>
          </w:p>
        </w:tc>
        <w:tc>
          <w:tcPr>
            <w:tcW w:w="1883" w:type="pct"/>
            <w:tcBorders>
              <w:top w:val="single" w:color="auto" w:sz="4" w:space="0"/>
              <w:left w:val="nil"/>
              <w:bottom w:val="single" w:color="auto" w:sz="4" w:space="0"/>
              <w:right w:val="single" w:color="auto" w:sz="4" w:space="0"/>
            </w:tcBorders>
            <w:noWrap w:val="0"/>
            <w:vAlign w:val="center"/>
          </w:tcPr>
          <w:p w14:paraId="0FAE8B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各类优抚对象补助标准按规定执行</w:t>
            </w:r>
            <w:r>
              <w:rPr>
                <w:rFonts w:hint="default" w:ascii="Times New Roman" w:hAnsi="Times New Roman" w:eastAsia="方正仿宋_GBK" w:cs="Times New Roman"/>
                <w:color w:val="auto"/>
                <w:kern w:val="0"/>
                <w:sz w:val="24"/>
                <w:szCs w:val="24"/>
                <w:lang w:eastAsia="zh-CN"/>
              </w:rPr>
              <w:t>率</w:t>
            </w:r>
          </w:p>
        </w:tc>
        <w:tc>
          <w:tcPr>
            <w:tcW w:w="1112" w:type="pct"/>
            <w:tcBorders>
              <w:top w:val="single" w:color="auto" w:sz="4" w:space="0"/>
              <w:left w:val="nil"/>
              <w:bottom w:val="single" w:color="auto" w:sz="4" w:space="0"/>
              <w:right w:val="single" w:color="auto" w:sz="4" w:space="0"/>
            </w:tcBorders>
            <w:noWrap w:val="0"/>
            <w:vAlign w:val="center"/>
          </w:tcPr>
          <w:p w14:paraId="6E8C11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rPr>
              <w:t>100%</w:t>
            </w:r>
          </w:p>
        </w:tc>
      </w:tr>
      <w:tr w14:paraId="4E49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072DE1BC">
            <w:pPr>
              <w:widowControl/>
              <w:jc w:val="left"/>
              <w:rPr>
                <w:rFonts w:hint="default" w:ascii="Times New Roman" w:hAnsi="Times New Roman" w:eastAsia="方正仿宋_GBK" w:cs="Times New Roman"/>
                <w:color w:val="auto"/>
                <w:kern w:val="2"/>
                <w:sz w:val="21"/>
              </w:rPr>
            </w:pPr>
          </w:p>
        </w:tc>
        <w:tc>
          <w:tcPr>
            <w:tcW w:w="695" w:type="pct"/>
            <w:vMerge w:val="continue"/>
            <w:tcBorders>
              <w:top w:val="nil"/>
              <w:left w:val="nil"/>
              <w:bottom w:val="single" w:color="auto" w:sz="4" w:space="0"/>
              <w:right w:val="single" w:color="auto" w:sz="4" w:space="0"/>
            </w:tcBorders>
            <w:noWrap w:val="0"/>
            <w:vAlign w:val="center"/>
          </w:tcPr>
          <w:p w14:paraId="3F6B3867">
            <w:pPr>
              <w:widowControl/>
              <w:jc w:val="center"/>
              <w:rPr>
                <w:rFonts w:hint="default" w:ascii="Times New Roman" w:hAnsi="Times New Roman" w:eastAsia="方正仿宋_GBK" w:cs="Times New Roman"/>
                <w:color w:val="auto"/>
                <w:kern w:val="2"/>
                <w:sz w:val="24"/>
                <w:szCs w:val="24"/>
              </w:rPr>
            </w:pPr>
          </w:p>
        </w:tc>
        <w:tc>
          <w:tcPr>
            <w:tcW w:w="845" w:type="pct"/>
            <w:tcBorders>
              <w:top w:val="single" w:color="auto" w:sz="4" w:space="0"/>
              <w:left w:val="nil"/>
              <w:bottom w:val="single" w:color="auto" w:sz="4" w:space="0"/>
              <w:right w:val="single" w:color="auto" w:sz="4" w:space="0"/>
            </w:tcBorders>
            <w:noWrap w:val="0"/>
            <w:vAlign w:val="center"/>
          </w:tcPr>
          <w:p w14:paraId="48BD5C90">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时效指标</w:t>
            </w:r>
          </w:p>
        </w:tc>
        <w:tc>
          <w:tcPr>
            <w:tcW w:w="1883" w:type="pct"/>
            <w:tcBorders>
              <w:top w:val="single" w:color="auto" w:sz="4" w:space="0"/>
              <w:left w:val="nil"/>
              <w:bottom w:val="single" w:color="auto" w:sz="4" w:space="0"/>
              <w:right w:val="single" w:color="auto" w:sz="4" w:space="0"/>
            </w:tcBorders>
            <w:noWrap w:val="0"/>
            <w:vAlign w:val="center"/>
          </w:tcPr>
          <w:p w14:paraId="494B19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lang w:eastAsia="zh-CN"/>
              </w:rPr>
              <w:t>优抚对象补助</w:t>
            </w:r>
            <w:r>
              <w:rPr>
                <w:rFonts w:hint="eastAsia" w:ascii="Times New Roman" w:hAnsi="Times New Roman" w:eastAsia="方正仿宋_GBK" w:cs="Times New Roman"/>
                <w:color w:val="auto"/>
                <w:kern w:val="0"/>
                <w:sz w:val="24"/>
                <w:szCs w:val="24"/>
                <w:lang w:eastAsia="zh-CN"/>
              </w:rPr>
              <w:t>经费</w:t>
            </w:r>
            <w:r>
              <w:rPr>
                <w:rFonts w:hint="default" w:ascii="Times New Roman" w:hAnsi="Times New Roman" w:eastAsia="方正仿宋_GBK" w:cs="Times New Roman"/>
                <w:color w:val="auto"/>
                <w:kern w:val="0"/>
                <w:sz w:val="24"/>
                <w:szCs w:val="24"/>
                <w:lang w:eastAsia="zh-CN"/>
              </w:rPr>
              <w:t>及时拨付率</w:t>
            </w:r>
          </w:p>
        </w:tc>
        <w:tc>
          <w:tcPr>
            <w:tcW w:w="1112" w:type="pct"/>
            <w:tcBorders>
              <w:top w:val="single" w:color="auto" w:sz="4" w:space="0"/>
              <w:left w:val="nil"/>
              <w:bottom w:val="single" w:color="auto" w:sz="4" w:space="0"/>
              <w:right w:val="single" w:color="auto" w:sz="4" w:space="0"/>
            </w:tcBorders>
            <w:noWrap w:val="0"/>
            <w:vAlign w:val="center"/>
          </w:tcPr>
          <w:p w14:paraId="2BB2CB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4"/>
                <w:szCs w:val="24"/>
                <w:lang w:val="en-US" w:eastAsia="zh-CN"/>
              </w:rPr>
              <w:t>100%</w:t>
            </w:r>
          </w:p>
        </w:tc>
      </w:tr>
      <w:tr w14:paraId="647E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66D2471E">
            <w:pPr>
              <w:widowControl/>
              <w:jc w:val="left"/>
              <w:rPr>
                <w:rFonts w:hint="default" w:ascii="Times New Roman" w:hAnsi="Times New Roman" w:eastAsia="方正仿宋_GBK" w:cs="Times New Roman"/>
                <w:color w:val="auto"/>
                <w:kern w:val="2"/>
                <w:sz w:val="21"/>
              </w:rPr>
            </w:pPr>
          </w:p>
        </w:tc>
        <w:tc>
          <w:tcPr>
            <w:tcW w:w="695" w:type="pct"/>
            <w:tcBorders>
              <w:top w:val="nil"/>
              <w:left w:val="nil"/>
              <w:bottom w:val="single" w:color="auto" w:sz="4" w:space="0"/>
              <w:right w:val="single" w:color="auto" w:sz="4" w:space="0"/>
            </w:tcBorders>
            <w:noWrap w:val="0"/>
            <w:vAlign w:val="center"/>
          </w:tcPr>
          <w:p w14:paraId="40785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效益指标</w:t>
            </w:r>
          </w:p>
        </w:tc>
        <w:tc>
          <w:tcPr>
            <w:tcW w:w="845" w:type="pct"/>
            <w:tcBorders>
              <w:top w:val="nil"/>
              <w:left w:val="nil"/>
              <w:bottom w:val="single" w:color="auto" w:sz="4" w:space="0"/>
              <w:right w:val="single" w:color="auto" w:sz="4" w:space="0"/>
            </w:tcBorders>
            <w:noWrap w:val="0"/>
            <w:vAlign w:val="center"/>
          </w:tcPr>
          <w:p w14:paraId="0E52DD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rPr>
              <w:t>社会效益指</w:t>
            </w:r>
            <w:r>
              <w:rPr>
                <w:rFonts w:hint="eastAsia" w:ascii="Times New Roman" w:hAnsi="Times New Roman" w:eastAsia="方正仿宋_GBK" w:cs="Times New Roman"/>
                <w:color w:val="auto"/>
                <w:kern w:val="0"/>
                <w:sz w:val="24"/>
                <w:szCs w:val="24"/>
                <w:lang w:eastAsia="zh-CN"/>
              </w:rPr>
              <w:t>标</w:t>
            </w:r>
          </w:p>
        </w:tc>
        <w:tc>
          <w:tcPr>
            <w:tcW w:w="1883" w:type="pct"/>
            <w:tcBorders>
              <w:top w:val="single" w:color="auto" w:sz="4" w:space="0"/>
              <w:left w:val="nil"/>
              <w:right w:val="single" w:color="auto" w:sz="4" w:space="0"/>
            </w:tcBorders>
            <w:noWrap w:val="0"/>
            <w:vAlign w:val="center"/>
          </w:tcPr>
          <w:p w14:paraId="1D6845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4"/>
                <w:szCs w:val="24"/>
              </w:rPr>
              <w:t>优抚对象生活情况</w:t>
            </w:r>
            <w:r>
              <w:rPr>
                <w:rFonts w:hint="eastAsia" w:ascii="Times New Roman" w:hAnsi="Times New Roman" w:eastAsia="方正仿宋_GBK" w:cs="Times New Roman"/>
                <w:color w:val="auto"/>
                <w:kern w:val="0"/>
                <w:sz w:val="24"/>
                <w:szCs w:val="24"/>
                <w:lang w:val="en-US" w:eastAsia="zh-CN"/>
              </w:rPr>
              <w:t xml:space="preserve">      </w:t>
            </w:r>
          </w:p>
        </w:tc>
        <w:tc>
          <w:tcPr>
            <w:tcW w:w="1112" w:type="pct"/>
            <w:tcBorders>
              <w:top w:val="single" w:color="auto" w:sz="4" w:space="0"/>
              <w:left w:val="nil"/>
              <w:bottom w:val="single" w:color="auto" w:sz="4" w:space="0"/>
              <w:right w:val="single" w:color="auto" w:sz="4" w:space="0"/>
            </w:tcBorders>
            <w:noWrap w:val="0"/>
            <w:vAlign w:val="center"/>
          </w:tcPr>
          <w:p w14:paraId="59CC2A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有效改善</w:t>
            </w:r>
          </w:p>
        </w:tc>
      </w:tr>
      <w:tr w14:paraId="2DDA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pct"/>
            <w:vMerge w:val="continue"/>
            <w:tcBorders>
              <w:top w:val="nil"/>
              <w:left w:val="single" w:color="auto" w:sz="4" w:space="0"/>
              <w:bottom w:val="single" w:color="auto" w:sz="4" w:space="0"/>
              <w:right w:val="single" w:color="auto" w:sz="4" w:space="0"/>
            </w:tcBorders>
            <w:noWrap w:val="0"/>
            <w:vAlign w:val="center"/>
          </w:tcPr>
          <w:p w14:paraId="4522998B">
            <w:pPr>
              <w:widowControl/>
              <w:jc w:val="left"/>
              <w:rPr>
                <w:rFonts w:hint="default" w:ascii="Times New Roman" w:hAnsi="Times New Roman" w:eastAsia="方正仿宋_GBK" w:cs="Times New Roman"/>
                <w:color w:val="auto"/>
                <w:kern w:val="2"/>
                <w:sz w:val="21"/>
              </w:rPr>
            </w:pPr>
          </w:p>
        </w:tc>
        <w:tc>
          <w:tcPr>
            <w:tcW w:w="695" w:type="pct"/>
            <w:tcBorders>
              <w:top w:val="single" w:color="auto" w:sz="4" w:space="0"/>
              <w:left w:val="nil"/>
              <w:bottom w:val="single" w:color="auto" w:sz="4" w:space="0"/>
              <w:right w:val="single" w:color="auto" w:sz="4" w:space="0"/>
            </w:tcBorders>
            <w:noWrap w:val="0"/>
            <w:vAlign w:val="center"/>
          </w:tcPr>
          <w:p w14:paraId="5B5843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845" w:type="pct"/>
            <w:tcBorders>
              <w:top w:val="single" w:color="auto" w:sz="4" w:space="0"/>
              <w:left w:val="nil"/>
              <w:bottom w:val="single" w:color="auto" w:sz="4" w:space="0"/>
              <w:right w:val="single" w:color="auto" w:sz="4" w:space="0"/>
            </w:tcBorders>
            <w:noWrap w:val="0"/>
            <w:vAlign w:val="center"/>
          </w:tcPr>
          <w:p w14:paraId="6D5675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服务对象</w:t>
            </w:r>
          </w:p>
          <w:p w14:paraId="1A0BD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1883" w:type="pct"/>
            <w:tcBorders>
              <w:top w:val="single" w:color="auto" w:sz="4" w:space="0"/>
              <w:left w:val="nil"/>
              <w:bottom w:val="single" w:color="auto" w:sz="4" w:space="0"/>
              <w:right w:val="single" w:color="auto" w:sz="4" w:space="0"/>
            </w:tcBorders>
            <w:noWrap w:val="0"/>
            <w:vAlign w:val="center"/>
          </w:tcPr>
          <w:p w14:paraId="224A0C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优抚对象满意</w:t>
            </w:r>
            <w:r>
              <w:rPr>
                <w:rFonts w:hint="eastAsia" w:ascii="Times New Roman" w:hAnsi="Times New Roman" w:eastAsia="方正仿宋_GBK" w:cs="Times New Roman"/>
                <w:color w:val="auto"/>
                <w:kern w:val="0"/>
                <w:sz w:val="24"/>
                <w:szCs w:val="24"/>
                <w:lang w:eastAsia="zh-CN"/>
              </w:rPr>
              <w:t>率</w:t>
            </w:r>
            <w:r>
              <w:rPr>
                <w:rFonts w:hint="default" w:ascii="Times New Roman" w:hAnsi="Times New Roman" w:eastAsia="方正仿宋_GBK" w:cs="Times New Roman"/>
                <w:color w:val="auto"/>
                <w:kern w:val="0"/>
                <w:sz w:val="24"/>
                <w:szCs w:val="24"/>
              </w:rPr>
              <w:t>度</w:t>
            </w:r>
          </w:p>
        </w:tc>
        <w:tc>
          <w:tcPr>
            <w:tcW w:w="1112" w:type="pct"/>
            <w:tcBorders>
              <w:top w:val="single" w:color="auto" w:sz="4" w:space="0"/>
              <w:left w:val="nil"/>
              <w:bottom w:val="single" w:color="auto" w:sz="4" w:space="0"/>
              <w:right w:val="single" w:color="auto" w:sz="4" w:space="0"/>
            </w:tcBorders>
            <w:noWrap w:val="0"/>
            <w:vAlign w:val="center"/>
          </w:tcPr>
          <w:p w14:paraId="5D5706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eastAsia" w:ascii="东文宋体" w:hAnsi="东文宋体" w:eastAsia="东文宋体" w:cs="东文宋体"/>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90</w:t>
            </w:r>
            <w:r>
              <w:rPr>
                <w:rFonts w:hint="default" w:ascii="Times New Roman" w:hAnsi="Times New Roman" w:eastAsia="方正仿宋_GBK" w:cs="Times New Roman"/>
                <w:color w:val="auto"/>
                <w:kern w:val="0"/>
                <w:sz w:val="24"/>
                <w:szCs w:val="24"/>
              </w:rPr>
              <w:t>%</w:t>
            </w:r>
          </w:p>
        </w:tc>
      </w:tr>
    </w:tbl>
    <w:p w14:paraId="38AE087C">
      <w:pPr>
        <w:rPr>
          <w:rFonts w:hint="default" w:ascii="Times New Roman" w:hAnsi="Times New Roman" w:eastAsia="仿宋_GB2312" w:cs="Times New Roman"/>
          <w:b/>
          <w:color w:val="auto"/>
          <w:sz w:val="32"/>
        </w:rPr>
      </w:pPr>
    </w:p>
    <w:p w14:paraId="27C05087">
      <w:pPr>
        <w:tabs>
          <w:tab w:val="left" w:pos="1188"/>
        </w:tabs>
        <w:spacing w:line="360" w:lineRule="auto"/>
        <w:ind w:firstLine="280" w:firstLineChars="100"/>
        <w:rPr>
          <w:rFonts w:hint="eastAsia" w:ascii="Times New Roman" w:hAnsi="Times New Roman" w:eastAsia="方正仿宋_GBK" w:cs="Times New Roman"/>
          <w:color w:val="FF0000"/>
          <w:sz w:val="28"/>
          <w:szCs w:val="28"/>
          <w:lang w:eastAsia="zh-CN"/>
        </w:rPr>
      </w:pPr>
    </w:p>
    <w:p w14:paraId="57CE3086">
      <w:pPr>
        <w:tabs>
          <w:tab w:val="left" w:pos="1555"/>
        </w:tabs>
        <w:rPr>
          <w:rFonts w:hint="default" w:ascii="Times New Roman" w:hAnsi="Times New Roman" w:eastAsia="方正仿宋_GBK" w:cs="Times New Roman"/>
          <w:sz w:val="32"/>
          <w:szCs w:val="32"/>
        </w:rPr>
      </w:pPr>
    </w:p>
    <w:p w14:paraId="2F01BD5A">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6" w:type="first"/>
      <w:footerReference r:id="rId4" w:type="default"/>
      <w:footerReference r:id="rId5" w:type="even"/>
      <w:pgSz w:w="11906" w:h="16838"/>
      <w:pgMar w:top="1134" w:right="1134" w:bottom="1134" w:left="1134"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DA26">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8375B">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58375B">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963B">
    <w:pPr>
      <w:pStyle w:val="2"/>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2C7D1">
                          <w:pPr>
                            <w:pStyle w:val="2"/>
                            <w:rPr>
                              <w:rFonts w:hint="default" w:ascii="Times New Roman" w:hAnsi="Times New Roman" w:eastAsia="宋体" w:cs="Times New Roman"/>
                              <w:sz w:val="28"/>
                              <w:szCs w:val="28"/>
                              <w:lang w:eastAsia="zh-CN"/>
                            </w:rPr>
                          </w:pPr>
                          <w:r>
                            <w:rPr>
                              <w:rFonts w:hint="default" w:cs="Times New Roman"/>
                              <w:sz w:val="28"/>
                              <w:szCs w:val="28"/>
                              <w:lang w:eastAsia="zh-CN"/>
                            </w:rPr>
                            <w:t xml:space="preserve">— </w:t>
                          </w:r>
                          <w:r>
                            <w:rPr>
                              <w:rFonts w:hint="default" w:cs="Times New Roman"/>
                              <w:sz w:val="28"/>
                              <w:szCs w:val="28"/>
                              <w:lang w:eastAsia="zh-CN"/>
                            </w:rPr>
                            <w:fldChar w:fldCharType="begin"/>
                          </w:r>
                          <w:r>
                            <w:rPr>
                              <w:rFonts w:hint="default" w:cs="Times New Roman"/>
                              <w:sz w:val="28"/>
                              <w:szCs w:val="28"/>
                              <w:lang w:eastAsia="zh-CN"/>
                            </w:rPr>
                            <w:instrText xml:space="preserve"> PAGE  \* MERGEFORMAT </w:instrText>
                          </w:r>
                          <w:r>
                            <w:rPr>
                              <w:rFonts w:hint="default" w:cs="Times New Roman"/>
                              <w:sz w:val="28"/>
                              <w:szCs w:val="28"/>
                              <w:lang w:eastAsia="zh-CN"/>
                            </w:rPr>
                            <w:fldChar w:fldCharType="separate"/>
                          </w:r>
                          <w:r>
                            <w:rPr>
                              <w:rFonts w:hint="default" w:cs="Times New Roman"/>
                              <w:sz w:val="28"/>
                              <w:szCs w:val="28"/>
                              <w:lang w:eastAsia="zh-CN"/>
                            </w:rPr>
                            <w:t>6</w:t>
                          </w:r>
                          <w:r>
                            <w:rPr>
                              <w:rFonts w:hint="default" w:cs="Times New Roman"/>
                              <w:sz w:val="28"/>
                              <w:szCs w:val="28"/>
                              <w:lang w:eastAsia="zh-CN"/>
                            </w:rPr>
                            <w:fldChar w:fldCharType="end"/>
                          </w:r>
                          <w:r>
                            <w:rPr>
                              <w:rFonts w:hint="default"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382C7D1">
                    <w:pPr>
                      <w:pStyle w:val="2"/>
                      <w:rPr>
                        <w:rFonts w:hint="default" w:ascii="Times New Roman" w:hAnsi="Times New Roman" w:eastAsia="宋体" w:cs="Times New Roman"/>
                        <w:sz w:val="28"/>
                        <w:szCs w:val="28"/>
                        <w:lang w:eastAsia="zh-CN"/>
                      </w:rPr>
                    </w:pPr>
                    <w:r>
                      <w:rPr>
                        <w:rFonts w:hint="default" w:cs="Times New Roman"/>
                        <w:sz w:val="28"/>
                        <w:szCs w:val="28"/>
                        <w:lang w:eastAsia="zh-CN"/>
                      </w:rPr>
                      <w:t xml:space="preserve">— </w:t>
                    </w:r>
                    <w:r>
                      <w:rPr>
                        <w:rFonts w:hint="default" w:cs="Times New Roman"/>
                        <w:sz w:val="28"/>
                        <w:szCs w:val="28"/>
                        <w:lang w:eastAsia="zh-CN"/>
                      </w:rPr>
                      <w:fldChar w:fldCharType="begin"/>
                    </w:r>
                    <w:r>
                      <w:rPr>
                        <w:rFonts w:hint="default" w:cs="Times New Roman"/>
                        <w:sz w:val="28"/>
                        <w:szCs w:val="28"/>
                        <w:lang w:eastAsia="zh-CN"/>
                      </w:rPr>
                      <w:instrText xml:space="preserve"> PAGE  \* MERGEFORMAT </w:instrText>
                    </w:r>
                    <w:r>
                      <w:rPr>
                        <w:rFonts w:hint="default" w:cs="Times New Roman"/>
                        <w:sz w:val="28"/>
                        <w:szCs w:val="28"/>
                        <w:lang w:eastAsia="zh-CN"/>
                      </w:rPr>
                      <w:fldChar w:fldCharType="separate"/>
                    </w:r>
                    <w:r>
                      <w:rPr>
                        <w:rFonts w:hint="default" w:cs="Times New Roman"/>
                        <w:sz w:val="28"/>
                        <w:szCs w:val="28"/>
                        <w:lang w:eastAsia="zh-CN"/>
                      </w:rPr>
                      <w:t>6</w:t>
                    </w:r>
                    <w:r>
                      <w:rPr>
                        <w:rFonts w:hint="default" w:cs="Times New Roman"/>
                        <w:sz w:val="28"/>
                        <w:szCs w:val="28"/>
                        <w:lang w:eastAsia="zh-CN"/>
                      </w:rPr>
                      <w:fldChar w:fldCharType="end"/>
                    </w:r>
                    <w:r>
                      <w:rPr>
                        <w:rFonts w:hint="default"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C91C">
    <w:pPr>
      <w:pStyle w:val="2"/>
      <w:framePr w:wrap="around" w:vAnchor="text" w:hAnchor="margin" w:xAlign="outside" w:y="1"/>
      <w:rPr>
        <w:rStyle w:val="8"/>
      </w:rPr>
    </w:pPr>
    <w:r>
      <w:fldChar w:fldCharType="begin"/>
    </w:r>
    <w:r>
      <w:rPr>
        <w:rStyle w:val="8"/>
      </w:rPr>
      <w:instrText xml:space="preserve">PAGE  </w:instrText>
    </w:r>
    <w:r>
      <w:fldChar w:fldCharType="end"/>
    </w:r>
  </w:p>
  <w:p w14:paraId="273EBB1D">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D2BC">
    <w:pPr>
      <w:pStyle w:val="2"/>
      <w:ind w:firstLine="8260" w:firstLineChars="2950"/>
      <w:rPr>
        <w:rStyle w:val="8"/>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CCB73">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E9CCB73">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r>
      <w:rPr>
        <w:rStyle w:val="8"/>
        <w:rFonts w:hint="eastAsia" w:ascii="宋体" w:hAnsi="宋体"/>
        <w:sz w:val="28"/>
        <w:szCs w:val="28"/>
      </w:rPr>
      <w:t xml:space="preserve"> </w:t>
    </w:r>
  </w:p>
  <w:p w14:paraId="101CF4D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 w:name="DocumentID" w:val="{67D3547A-7A49-4F1E-9254-51BED216203B}"/>
    <w:docVar w:name="DocumentName" w:val="梁财社〔2023〕175号梁河县财政局关于下达2023年优抚对象补助省级经费的通知01 中央直达资金"/>
  </w:docVars>
  <w:rsids>
    <w:rsidRoot w:val="00000000"/>
    <w:rsid w:val="00830B3A"/>
    <w:rsid w:val="04730C14"/>
    <w:rsid w:val="06007873"/>
    <w:rsid w:val="0786416F"/>
    <w:rsid w:val="09745825"/>
    <w:rsid w:val="09E911F1"/>
    <w:rsid w:val="0AE5706E"/>
    <w:rsid w:val="0AF86488"/>
    <w:rsid w:val="0B0A6A71"/>
    <w:rsid w:val="0C5B035E"/>
    <w:rsid w:val="0C83624D"/>
    <w:rsid w:val="0D3F0EEB"/>
    <w:rsid w:val="0DBC559A"/>
    <w:rsid w:val="0E2142A1"/>
    <w:rsid w:val="0FCB1CE9"/>
    <w:rsid w:val="102F7315"/>
    <w:rsid w:val="1077628A"/>
    <w:rsid w:val="1091445F"/>
    <w:rsid w:val="10E45564"/>
    <w:rsid w:val="11FC7480"/>
    <w:rsid w:val="12B67DF9"/>
    <w:rsid w:val="13341197"/>
    <w:rsid w:val="138419EE"/>
    <w:rsid w:val="13A21647"/>
    <w:rsid w:val="13A6267C"/>
    <w:rsid w:val="14566CD7"/>
    <w:rsid w:val="148005FB"/>
    <w:rsid w:val="150F5AD2"/>
    <w:rsid w:val="15483DA9"/>
    <w:rsid w:val="157818E8"/>
    <w:rsid w:val="18322C59"/>
    <w:rsid w:val="184F22F3"/>
    <w:rsid w:val="18763BA5"/>
    <w:rsid w:val="19B16135"/>
    <w:rsid w:val="19CC4881"/>
    <w:rsid w:val="19CF3670"/>
    <w:rsid w:val="1A1E05BA"/>
    <w:rsid w:val="1A4B5FBA"/>
    <w:rsid w:val="1A7523AB"/>
    <w:rsid w:val="1A7D6D85"/>
    <w:rsid w:val="1B9D1623"/>
    <w:rsid w:val="1BC11999"/>
    <w:rsid w:val="1C172982"/>
    <w:rsid w:val="1CE61642"/>
    <w:rsid w:val="1D3E3895"/>
    <w:rsid w:val="1D815751"/>
    <w:rsid w:val="1DD646B6"/>
    <w:rsid w:val="1DEA7DC2"/>
    <w:rsid w:val="1EA0242D"/>
    <w:rsid w:val="1EF15C06"/>
    <w:rsid w:val="1FC666FD"/>
    <w:rsid w:val="202424BD"/>
    <w:rsid w:val="2108113C"/>
    <w:rsid w:val="21E41377"/>
    <w:rsid w:val="227A5B2F"/>
    <w:rsid w:val="22A83ADD"/>
    <w:rsid w:val="22B95AC7"/>
    <w:rsid w:val="2307485F"/>
    <w:rsid w:val="23494274"/>
    <w:rsid w:val="235829B4"/>
    <w:rsid w:val="246F5D80"/>
    <w:rsid w:val="25766390"/>
    <w:rsid w:val="267A18CC"/>
    <w:rsid w:val="273208E7"/>
    <w:rsid w:val="27327F13"/>
    <w:rsid w:val="279D33AE"/>
    <w:rsid w:val="27AC3A14"/>
    <w:rsid w:val="283B2521"/>
    <w:rsid w:val="28AC1ED8"/>
    <w:rsid w:val="2B4D5322"/>
    <w:rsid w:val="2C213B0E"/>
    <w:rsid w:val="2C622667"/>
    <w:rsid w:val="2C786AD7"/>
    <w:rsid w:val="2C8A36E0"/>
    <w:rsid w:val="2DC027C2"/>
    <w:rsid w:val="2F10570F"/>
    <w:rsid w:val="2F2819F8"/>
    <w:rsid w:val="315D7DA4"/>
    <w:rsid w:val="317967B1"/>
    <w:rsid w:val="32026C74"/>
    <w:rsid w:val="32572CB0"/>
    <w:rsid w:val="32CB2F7B"/>
    <w:rsid w:val="34E51D3A"/>
    <w:rsid w:val="353F3732"/>
    <w:rsid w:val="357A2BD6"/>
    <w:rsid w:val="37660868"/>
    <w:rsid w:val="3782629D"/>
    <w:rsid w:val="380657E0"/>
    <w:rsid w:val="3A1145AF"/>
    <w:rsid w:val="3A4F3806"/>
    <w:rsid w:val="3B732451"/>
    <w:rsid w:val="3D1E75A7"/>
    <w:rsid w:val="3D6544F0"/>
    <w:rsid w:val="3E3E0838"/>
    <w:rsid w:val="3E6C6BA1"/>
    <w:rsid w:val="3E9908DC"/>
    <w:rsid w:val="3F6049B7"/>
    <w:rsid w:val="40203954"/>
    <w:rsid w:val="4038606A"/>
    <w:rsid w:val="40C50F64"/>
    <w:rsid w:val="42253A94"/>
    <w:rsid w:val="422B0AC7"/>
    <w:rsid w:val="42E42603"/>
    <w:rsid w:val="43FA3136"/>
    <w:rsid w:val="44216393"/>
    <w:rsid w:val="445B303B"/>
    <w:rsid w:val="44D7423A"/>
    <w:rsid w:val="45285404"/>
    <w:rsid w:val="45FF5F18"/>
    <w:rsid w:val="46AF3BC9"/>
    <w:rsid w:val="47CC6BDA"/>
    <w:rsid w:val="47E257F5"/>
    <w:rsid w:val="47FE7947"/>
    <w:rsid w:val="49BF0020"/>
    <w:rsid w:val="4A14515D"/>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12569AC"/>
    <w:rsid w:val="54FE12AD"/>
    <w:rsid w:val="553B5112"/>
    <w:rsid w:val="55AB7955"/>
    <w:rsid w:val="55BE3C17"/>
    <w:rsid w:val="5620087B"/>
    <w:rsid w:val="56455A59"/>
    <w:rsid w:val="57204742"/>
    <w:rsid w:val="5869591B"/>
    <w:rsid w:val="58940722"/>
    <w:rsid w:val="590B7542"/>
    <w:rsid w:val="5A333888"/>
    <w:rsid w:val="5B2F6498"/>
    <w:rsid w:val="5B3C5A35"/>
    <w:rsid w:val="5D625B32"/>
    <w:rsid w:val="5EA42053"/>
    <w:rsid w:val="5ED66A25"/>
    <w:rsid w:val="61353447"/>
    <w:rsid w:val="61EE2E08"/>
    <w:rsid w:val="621D4E67"/>
    <w:rsid w:val="62790E71"/>
    <w:rsid w:val="62FB3F34"/>
    <w:rsid w:val="635D2FC3"/>
    <w:rsid w:val="653A28C0"/>
    <w:rsid w:val="65CE47BF"/>
    <w:rsid w:val="65F64448"/>
    <w:rsid w:val="6633285F"/>
    <w:rsid w:val="6A855C4B"/>
    <w:rsid w:val="6BBA1FC0"/>
    <w:rsid w:val="6BDF40EE"/>
    <w:rsid w:val="6C846A70"/>
    <w:rsid w:val="6D2A0593"/>
    <w:rsid w:val="6DDC342C"/>
    <w:rsid w:val="6E0C4A49"/>
    <w:rsid w:val="6E175BAB"/>
    <w:rsid w:val="6F245E11"/>
    <w:rsid w:val="705720F0"/>
    <w:rsid w:val="70C925C0"/>
    <w:rsid w:val="71532B7B"/>
    <w:rsid w:val="719515F5"/>
    <w:rsid w:val="719F2C97"/>
    <w:rsid w:val="71D07026"/>
    <w:rsid w:val="73066F61"/>
    <w:rsid w:val="73262C99"/>
    <w:rsid w:val="73663EDE"/>
    <w:rsid w:val="736E107C"/>
    <w:rsid w:val="736F2C8B"/>
    <w:rsid w:val="73C2712E"/>
    <w:rsid w:val="75277D66"/>
    <w:rsid w:val="76460B34"/>
    <w:rsid w:val="76514837"/>
    <w:rsid w:val="76B8261D"/>
    <w:rsid w:val="78117866"/>
    <w:rsid w:val="78451356"/>
    <w:rsid w:val="78A94A62"/>
    <w:rsid w:val="7BA30EF9"/>
    <w:rsid w:val="7BD621F0"/>
    <w:rsid w:val="7C6061A4"/>
    <w:rsid w:val="7DB83FEE"/>
    <w:rsid w:val="7DBE3C71"/>
    <w:rsid w:val="7E777462"/>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rFonts w:ascii="Verdana" w:hAnsi="Verdana" w:eastAsia="仿宋_GB2312" w:cs="Times New Roman"/>
      <w:kern w:val="0"/>
      <w:sz w:val="24"/>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w:basedOn w:val="1"/>
    <w:link w:val="6"/>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 w:type="character" w:styleId="8">
    <w:name w:val="page number"/>
    <w:basedOn w:val="6"/>
    <w:qFormat/>
    <w:uiPriority w:val="0"/>
    <w:rPr>
      <w:rFonts w:ascii="Times New Roman" w:hAnsi="Times New Roman" w:eastAsia="宋体" w:cs="Times New Roman"/>
    </w:rPr>
  </w:style>
  <w:style w:type="character" w:customStyle="1" w:styleId="9">
    <w:name w:val="font21"/>
    <w:basedOn w:val="6"/>
    <w:qFormat/>
    <w:uiPriority w:val="0"/>
    <w:rPr>
      <w:rFonts w:hint="eastAsia" w:ascii="宋体" w:hAnsi="宋体" w:eastAsia="宋体" w:cs="宋体"/>
      <w:color w:val="000000"/>
      <w:sz w:val="18"/>
      <w:szCs w:val="18"/>
      <w:u w:val="none"/>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b/>
      <w:color w:val="000000"/>
      <w:sz w:val="20"/>
      <w:szCs w:val="20"/>
      <w:u w:val="none"/>
    </w:rPr>
  </w:style>
  <w:style w:type="character" w:customStyle="1" w:styleId="12">
    <w:name w:val="font41"/>
    <w:basedOn w:val="6"/>
    <w:qFormat/>
    <w:uiPriority w:val="0"/>
    <w:rPr>
      <w:rFonts w:hint="default" w:ascii="Times New Roman" w:hAnsi="Times New Roman" w:eastAsia="宋体" w:cs="Times New Roman"/>
      <w:color w:val="000000"/>
      <w:sz w:val="22"/>
      <w:szCs w:val="22"/>
      <w:u w:val="none"/>
    </w:rPr>
  </w:style>
  <w:style w:type="character" w:customStyle="1" w:styleId="13">
    <w:name w:val="font71"/>
    <w:basedOn w:val="6"/>
    <w:qFormat/>
    <w:uiPriority w:val="0"/>
    <w:rPr>
      <w:rFonts w:hint="eastAsia" w:ascii="宋体" w:hAnsi="宋体" w:eastAsia="宋体" w:cs="宋体"/>
      <w:color w:val="000000"/>
      <w:sz w:val="28"/>
      <w:szCs w:val="28"/>
      <w:u w:val="none"/>
    </w:rPr>
  </w:style>
  <w:style w:type="character" w:customStyle="1" w:styleId="14">
    <w:name w:val="font11"/>
    <w:basedOn w:val="6"/>
    <w:qFormat/>
    <w:uiPriority w:val="0"/>
    <w:rPr>
      <w:rFonts w:hint="default" w:ascii="仿宋_GB2312" w:eastAsia="仿宋_GB2312" w:cs="仿宋_GB2312"/>
      <w:color w:val="000000"/>
      <w:sz w:val="30"/>
      <w:szCs w:val="30"/>
      <w:u w:val="none"/>
    </w:rPr>
  </w:style>
  <w:style w:type="paragraph" w:customStyle="1" w:styleId="15">
    <w:name w:val="图表目录1"/>
    <w:basedOn w:val="16"/>
    <w:next w:val="1"/>
    <w:qFormat/>
    <w:uiPriority w:val="0"/>
    <w:pPr>
      <w:ind w:left="200" w:leftChars="200" w:hanging="200" w:hangingChars="200"/>
    </w:pPr>
    <w:rPr>
      <w:rFonts w:ascii="Calibri" w:hAnsi="Calibri" w:eastAsia="宋体" w:cs="Times New Roman"/>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Calibri"/>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1046</Words>
  <Characters>1137</Characters>
  <Lines>0</Lines>
  <Paragraphs>0</Paragraphs>
  <TotalTime>10</TotalTime>
  <ScaleCrop>false</ScaleCrop>
  <LinksUpToDate>false</LinksUpToDate>
  <CharactersWithSpaces>1193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WPS_1602483880</cp:lastModifiedBy>
  <cp:lastPrinted>2023-12-29T03:54:00Z</cp:lastPrinted>
  <dcterms:modified xsi:type="dcterms:W3CDTF">2024-11-18T08:08:21Z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2B985FB095A4471BB8AF9D9AEBE01111</vt:lpwstr>
  </property>
</Properties>
</file>