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6C71E">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eastAsia="方正仿宋_GBK"/>
          <w:sz w:val="32"/>
          <w:szCs w:val="32"/>
          <w:lang w:eastAsia="zh-CN"/>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2" name="KGD_Gobal1" descr="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" style="position:absolute;left:0pt;margin-left:-100.15pt;margin-top:-62pt;height:5pt;width:5pt;visibility:hidden;z-index:25166028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G+M&#10;V7fbAAAADwEAAA8AAAAAAAAAAQAgAAAAIgAAAGRycy9kb3ducmV2LnhtbFBLAQIUABQAAAAIAIdO&#10;4kB9omn0sAUAAAAJAAAOAAAAAAAAAAEAIAAAACoBAABkcnMvZTJvRG9jLnhtbFBLBQYAAAAABgAG&#10;AFkBAABMCQAAAAA=&#10;">
                <v:fill on="t" focussize="0,0"/>
                <v:stroke weight="1pt" color="#41719C [3204]" miterlimit="8" joinstyle="miter"/>
                <v:imagedata o:title=""/>
                <o:lock v:ext="edit" aspectratio="f"/>
              </v:rect>
            </w:pict>
          </mc:Fallback>
        </mc:AlternateContent>
      </w:r>
    </w:p>
    <w:p w14:paraId="65DAFC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梁河县财政局关于下达2023年中央</w:t>
      </w:r>
    </w:p>
    <w:p w14:paraId="23C9F80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优抚对象补助经费预算（第三批）的通知</w:t>
      </w:r>
    </w:p>
    <w:p w14:paraId="212BBBB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70A3D6D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梁河县退役军人事务局：</w:t>
      </w:r>
    </w:p>
    <w:p w14:paraId="5905F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lang w:val="en-US" w:eastAsia="zh-CN"/>
        </w:rPr>
        <w:t>根据《德宏州财政局</w:t>
      </w:r>
      <w:r>
        <w:rPr>
          <w:rFonts w:hint="default" w:ascii="Times New Roman" w:hAnsi="Times New Roman" w:eastAsia="方正仿宋_GBK" w:cs="Times New Roman"/>
          <w:sz w:val="32"/>
          <w:szCs w:val="32"/>
          <w:lang w:val="en-US" w:eastAsia="zh-CN"/>
        </w:rPr>
        <w:t>关于下达2023年中央优抚对象补助经费预算（第三批）的通知</w:t>
      </w:r>
      <w:r>
        <w:rPr>
          <w:rFonts w:hint="default" w:ascii="Times New Roman" w:hAnsi="Times New Roman" w:eastAsia="仿宋_GB2312" w:cs="Times New Roman"/>
          <w:sz w:val="32"/>
          <w:szCs w:val="32"/>
          <w:lang w:val="en-US" w:eastAsia="zh-CN"/>
        </w:rPr>
        <w:t>》（德财社〔2023〕205号），现下达你单位</w:t>
      </w:r>
      <w:r>
        <w:rPr>
          <w:rFonts w:hint="default" w:ascii="Times New Roman" w:hAnsi="Times New Roman" w:eastAsia="方正仿宋_GBK" w:cs="Times New Roman"/>
          <w:sz w:val="32"/>
          <w:szCs w:val="32"/>
          <w:lang w:val="en-US" w:eastAsia="zh-CN"/>
        </w:rPr>
        <w:t>2023年中央优抚对象补助经费预算（第三批）</w:t>
      </w:r>
      <w:r>
        <w:rPr>
          <w:rFonts w:hint="default" w:ascii="Times New Roman" w:hAnsi="Times New Roman" w:eastAsia="仿宋_GB2312" w:cs="Times New Roman"/>
          <w:sz w:val="32"/>
          <w:szCs w:val="32"/>
          <w:lang w:val="en-US" w:eastAsia="zh-CN"/>
        </w:rPr>
        <w:t>（具体金额详见附件），</w:t>
      </w:r>
      <w:r>
        <w:rPr>
          <w:rFonts w:hint="default" w:ascii="Times New Roman" w:hAnsi="Times New Roman" w:eastAsia="方正仿宋_GBK" w:cs="Times New Roman"/>
          <w:sz w:val="32"/>
          <w:szCs w:val="32"/>
          <w:lang w:val="en-US" w:eastAsia="zh-CN"/>
        </w:rPr>
        <w:t>用于优抚对象等人员抚恤和生活补助。现将有关事项通知如下，请认真贯彻落实。</w:t>
      </w:r>
    </w:p>
    <w:p w14:paraId="5201E6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补助经费主要用于以下两个方面：一是伤残人员（含残疾军人、伤残人民警察、伤残国家机关工作人员、伤残民兵民工）、“三属”（烈士、因公牺牲和病故军人家属）、在乡复员军人、带病回乡退伍军人、在农村和城镇无工作单位且家庭生活困难的参战退役军人、部分原8023部队及其他参加核试验退役军人（含参与铀矿开采退役军人等），以及符合条件的农村籍退役士兵、老烈士子女（含</w:t>
      </w:r>
      <w:r>
        <w:rPr>
          <w:rFonts w:hint="eastAsia" w:ascii="Times New Roman" w:hAnsi="Times New Roman" w:eastAsia="方正仿宋_GBK" w:cs="Times New Roman"/>
          <w:sz w:val="32"/>
          <w:szCs w:val="32"/>
          <w:lang w:val="en-US" w:eastAsia="zh-CN"/>
        </w:rPr>
        <w:t>中华人民共和国成立</w:t>
      </w:r>
      <w:r>
        <w:rPr>
          <w:rFonts w:hint="default" w:ascii="Times New Roman" w:hAnsi="Times New Roman" w:eastAsia="方正仿宋_GBK" w:cs="Times New Roman"/>
          <w:sz w:val="32"/>
          <w:szCs w:val="32"/>
          <w:lang w:val="en-US" w:eastAsia="zh-CN"/>
        </w:rPr>
        <w:t>前错杀后被平反人员的子女）等群体抚恤和生活补助支出。二是</w:t>
      </w:r>
      <w:r>
        <w:rPr>
          <w:rFonts w:hint="eastAsia" w:ascii="Times New Roman" w:hAnsi="Times New Roman" w:eastAsia="方正仿宋_GBK" w:cs="Times New Roman"/>
          <w:sz w:val="32"/>
          <w:szCs w:val="32"/>
          <w:lang w:val="en-US" w:eastAsia="zh-CN"/>
        </w:rPr>
        <w:t>中华人民共和国成立</w:t>
      </w:r>
      <w:bookmarkStart w:id="0" w:name="_GoBack"/>
      <w:bookmarkEnd w:id="0"/>
      <w:r>
        <w:rPr>
          <w:rFonts w:hint="default" w:ascii="Times New Roman" w:hAnsi="Times New Roman" w:eastAsia="方正仿宋_GBK" w:cs="Times New Roman"/>
          <w:sz w:val="32"/>
          <w:szCs w:val="32"/>
          <w:lang w:val="en-US" w:eastAsia="zh-CN"/>
        </w:rPr>
        <w:t>前入党的农村老党员和未享受离退休待遇的城镇老党员发放生活补助的补助支出。各县市要按照规定的补助标准，统筹使用中央财政和中央管理的党费安排补助资金，以及地方财政安排的补助资金。</w:t>
      </w:r>
    </w:p>
    <w:p w14:paraId="10D11B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二、各县市该项指标收入列入2023年政府收支分类科目“1100248 社会保障和就业共同财政事权转移支付收入”科目，支出列入“20808抚恤”相关科目（详见附件1），政府及部门支出经济分类科目，请根据该项目要求和实际情况按照《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14:paraId="31EDA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的资金列入直达资金管理，该项直达资金的标识为“01中央直达资金”，各县市财政部门在下达直达资金预算指标时，项目名称应与上级财政部门预算指标发文中的有关项目保持一致，并准确标注直达资金标识；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w:t>
      </w:r>
      <w:r>
        <w:rPr>
          <w:sz w:val="32"/>
        </w:rPr>
        <mc:AlternateContent>
          <mc:Choice Requires="wps">
            <w:drawing>
              <wp:anchor distT="0" distB="0" distL="114300" distR="114300" simplePos="0" relativeHeight="251659264" behindDoc="1" locked="0" layoutInCell="1" hidden="1" allowOverlap="1">
                <wp:simplePos x="0" y="0"/>
                <wp:positionH relativeFrom="column">
                  <wp:posOffset>-4925060</wp:posOffset>
                </wp:positionH>
                <wp:positionV relativeFrom="paragraph">
                  <wp:posOffset>-6260465</wp:posOffset>
                </wp:positionV>
                <wp:extent cx="15120620" cy="21384260"/>
                <wp:effectExtent l="0" t="0" r="0" b="0"/>
                <wp:wrapNone/>
                <wp:docPr id="5"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visibility:hidden;z-index:-251657216;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CUT6NveA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tgzOPaAAAADwEAAA8AAAAAAAAAAQAgAAAAIgAA&#10;AGRycy9kb3ducmV2LnhtbFBLAQIUABQAAAAIAIdO4kCUT6NveAIAADwFAAAOAAAAAAAAAAEAIAAA&#10;ACk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示，在指标系统中分别登录；各县市务必按照直达资金管理要求，在直达资金监控系统内按时进行相关操作，同时切实加快资金支出进度。</w:t>
      </w:r>
    </w:p>
    <w:p w14:paraId="6D003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 国务院关于全面实施预算绩效管理的意见》的要求，切实提高财政资金使用效益，完善绩效目标管理，做好绩效运行监控和绩效评价，确保财政资金安全有效。</w:t>
      </w:r>
    </w:p>
    <w:p w14:paraId="73513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五、请按照规定的补助标准，及时将资金发放到位，并加强资金管理，加快预算执行进度。</w:t>
      </w:r>
    </w:p>
    <w:p w14:paraId="7611C0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、请单位收到文件后，于3日内在预算管理一体化系统中挂接项目，完成挂接项目后请电话通知行财股（3019051）。如未按时限挂接项目导致资金无法正常使用，由各单位自行负责。</w:t>
      </w:r>
    </w:p>
    <w:p w14:paraId="7C003F12">
      <w:pPr>
        <w:pStyle w:val="2"/>
        <w:rPr>
          <w:rFonts w:hint="default"/>
          <w:lang w:val="en-US" w:eastAsia="zh-CN"/>
        </w:rPr>
      </w:pPr>
    </w:p>
    <w:p w14:paraId="44AD1ED2">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附件：1.2023年中央优抚对象补助经费预算（第三批）分配表</w:t>
      </w:r>
    </w:p>
    <w:p w14:paraId="033384ED">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2.2023年中央优抚对象补助经费预算（第三批）绩效目标表</w:t>
      </w:r>
    </w:p>
    <w:p w14:paraId="612949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00C7770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14:paraId="4CCF8F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w:t>
      </w:r>
      <w:r>
        <w:rPr>
          <w:rFonts w:hint="eastAsia" w:eastAsia="方正仿宋_GBK" w:cs="方正仿宋_GBK"/>
          <w:sz w:val="32"/>
          <w:szCs w:val="32"/>
          <w:lang w:eastAsia="zh-CN"/>
        </w:rPr>
        <w:t>县财政</w:t>
      </w:r>
      <w:r>
        <w:rPr>
          <w:rFonts w:hint="eastAsia" w:ascii="Times New Roman" w:hAnsi="Times New Roman" w:eastAsia="方正仿宋_GBK" w:cs="方正仿宋_GBK"/>
          <w:sz w:val="32"/>
          <w:szCs w:val="32"/>
        </w:rPr>
        <w:t>局</w:t>
      </w:r>
    </w:p>
    <w:p w14:paraId="1E8BA8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19</w:t>
      </w:r>
      <w:r>
        <w:rPr>
          <w:rFonts w:hint="eastAsia" w:ascii="Times New Roman" w:hAnsi="Times New Roman" w:eastAsia="方正仿宋_GBK" w:cs="方正仿宋_GBK"/>
          <w:sz w:val="32"/>
          <w:szCs w:val="32"/>
          <w:lang w:eastAsia="zh-CN"/>
        </w:rPr>
        <w:t>日</w:t>
      </w:r>
    </w:p>
    <w:p w14:paraId="0A5229DE">
      <w:pPr>
        <w:pStyle w:val="2"/>
        <w:ind w:left="0" w:leftChars="0" w:firstLine="0" w:firstLineChars="0"/>
        <w:rPr>
          <w:rFonts w:hint="eastAsia" w:ascii="Times New Roman" w:hAnsi="Times New Roman" w:eastAsia="方正仿宋_GBK" w:cs="方正仿宋_GBK"/>
          <w:sz w:val="32"/>
          <w:szCs w:val="32"/>
          <w:lang w:eastAsia="zh-CN"/>
        </w:rPr>
      </w:pPr>
    </w:p>
    <w:p w14:paraId="5EA731BC">
      <w:pPr>
        <w:pStyle w:val="2"/>
        <w:rPr>
          <w:rFonts w:hint="eastAsia" w:ascii="Times New Roman" w:hAnsi="Times New Roman" w:eastAsia="方正仿宋_GBK" w:cs="方正仿宋_GBK"/>
          <w:sz w:val="32"/>
          <w:szCs w:val="32"/>
          <w:lang w:eastAsia="zh-CN"/>
        </w:rPr>
      </w:pPr>
    </w:p>
    <w:p w14:paraId="13AEF0D4">
      <w:pPr>
        <w:pStyle w:val="2"/>
        <w:rPr>
          <w:rFonts w:hint="default" w:ascii="Times New Roman" w:hAnsi="Times New Roman" w:eastAsia="方正仿宋_GBK" w:cs="方正仿宋_GBK"/>
          <w:sz w:val="32"/>
          <w:szCs w:val="32"/>
          <w:lang w:val="en-US" w:eastAsia="zh-CN"/>
        </w:rPr>
        <w:sectPr>
          <w:footerReference r:id="rId3" w:type="default"/>
          <w:pgSz w:w="11906" w:h="16838"/>
          <w:pgMar w:top="1440" w:right="1803" w:bottom="1440" w:left="1803" w:header="851" w:footer="992" w:gutter="0"/>
          <w:pgNumType w:fmt="decimal"/>
          <w:cols w:space="0" w:num="1"/>
          <w:rtlGutter w:val="0"/>
          <w:docGrid w:type="lines" w:linePitch="325" w:charSpace="0"/>
        </w:sectPr>
      </w:pPr>
    </w:p>
    <w:p w14:paraId="13546F8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Times New Roman"/>
          <w:b/>
          <w:bCs/>
          <w:sz w:val="32"/>
          <w:szCs w:val="32"/>
        </w:rPr>
      </w:pPr>
      <w:r>
        <w:rPr>
          <w:rFonts w:hint="eastAsia" w:ascii="仿宋_GB2312" w:hAnsi="仿宋_GB2312" w:eastAsia="仿宋_GB2312" w:cs="Times New Roman"/>
          <w:b/>
          <w:bCs/>
          <w:sz w:val="32"/>
          <w:szCs w:val="32"/>
        </w:rPr>
        <w:t>附件</w:t>
      </w:r>
      <w:r>
        <w:rPr>
          <w:rFonts w:hint="eastAsia" w:ascii="仿宋_GB2312" w:hAnsi="仿宋_GB2312" w:eastAsia="仿宋_GB2312" w:cs="Times New Roman"/>
          <w:b/>
          <w:bCs/>
          <w:sz w:val="32"/>
          <w:szCs w:val="32"/>
          <w:lang w:val="en-US" w:eastAsia="zh-CN"/>
        </w:rPr>
        <w:t>1</w:t>
      </w:r>
      <w:r>
        <w:rPr>
          <w:rFonts w:hint="eastAsia" w:ascii="仿宋_GB2312" w:hAnsi="仿宋_GB2312" w:eastAsia="仿宋_GB2312" w:cs="Times New Roman"/>
          <w:b/>
          <w:bCs/>
          <w:sz w:val="32"/>
          <w:szCs w:val="32"/>
        </w:rPr>
        <w:t>：</w:t>
      </w:r>
    </w:p>
    <w:p w14:paraId="75443E36">
      <w:pPr>
        <w:keepNext w:val="0"/>
        <w:keepLines w:val="0"/>
        <w:pageBreakBefore w:val="0"/>
        <w:widowControl w:val="0"/>
        <w:kinsoku/>
        <w:wordWrap/>
        <w:overflowPunct/>
        <w:topLinePunct w:val="0"/>
        <w:autoSpaceDE/>
        <w:autoSpaceDN/>
        <w:bidi w:val="0"/>
        <w:adjustRightInd/>
        <w:snapToGrid/>
        <w:spacing w:line="600" w:lineRule="exact"/>
        <w:ind w:left="1602" w:leftChars="304" w:hanging="964" w:hangingChars="300"/>
        <w:jc w:val="center"/>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2023年中央优抚对象补助经费预算（第三批）分配表</w:t>
      </w:r>
    </w:p>
    <w:p w14:paraId="117A2F5C">
      <w:pPr>
        <w:keepNext w:val="0"/>
        <w:keepLines w:val="0"/>
        <w:pageBreakBefore w:val="0"/>
        <w:widowControl w:val="0"/>
        <w:kinsoku/>
        <w:wordWrap/>
        <w:overflowPunct/>
        <w:topLinePunct w:val="0"/>
        <w:autoSpaceDE/>
        <w:autoSpaceDN/>
        <w:bidi w:val="0"/>
        <w:adjustRightInd/>
        <w:snapToGrid/>
        <w:ind w:firstLine="643" w:firstLineChars="200"/>
        <w:jc w:val="right"/>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b/>
          <w:bCs/>
          <w:sz w:val="32"/>
          <w:szCs w:val="32"/>
          <w:lang w:eastAsia="zh-CN"/>
        </w:rPr>
        <w:t>单位：万元</w:t>
      </w:r>
    </w:p>
    <w:p w14:paraId="112186A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972"/>
        <w:gridCol w:w="1893"/>
        <w:gridCol w:w="1893"/>
        <w:gridCol w:w="3415"/>
        <w:gridCol w:w="2329"/>
        <w:gridCol w:w="2482"/>
      </w:tblGrid>
      <w:tr w14:paraId="011F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14:paraId="557F0509">
            <w:pPr>
              <w:jc w:val="center"/>
              <w:rPr>
                <w:rFonts w:hint="default" w:ascii="Times New Roman" w:hAnsi="Times New Roman" w:cs="Times New Roman"/>
                <w:b/>
                <w:bCs/>
                <w:sz w:val="18"/>
                <w:szCs w:val="18"/>
                <w:lang w:eastAsia="zh-CN"/>
              </w:rPr>
            </w:pPr>
            <w:r>
              <w:rPr>
                <w:rFonts w:hint="default" w:ascii="Times New Roman" w:hAnsi="Times New Roman" w:cs="Times New Roman"/>
                <w:b/>
                <w:bCs/>
                <w:sz w:val="18"/>
                <w:szCs w:val="18"/>
                <w:lang w:eastAsia="zh-CN"/>
              </w:rPr>
              <w:t>单位</w:t>
            </w:r>
          </w:p>
        </w:tc>
        <w:tc>
          <w:tcPr>
            <w:tcW w:w="343" w:type="pct"/>
            <w:vMerge w:val="restart"/>
            <w:tcBorders>
              <w:top w:val="single" w:color="auto" w:sz="4" w:space="0"/>
              <w:left w:val="nil"/>
              <w:bottom w:val="single" w:color="auto" w:sz="4" w:space="0"/>
              <w:right w:val="single" w:color="auto" w:sz="4" w:space="0"/>
            </w:tcBorders>
            <w:noWrap w:val="0"/>
            <w:vAlign w:val="center"/>
          </w:tcPr>
          <w:p w14:paraId="0197C9C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经费合计</w:t>
            </w:r>
          </w:p>
        </w:tc>
        <w:tc>
          <w:tcPr>
            <w:tcW w:w="3363" w:type="pct"/>
            <w:gridSpan w:val="4"/>
            <w:tcBorders>
              <w:top w:val="single" w:color="auto" w:sz="4" w:space="0"/>
              <w:left w:val="nil"/>
              <w:bottom w:val="single" w:color="auto" w:sz="4" w:space="0"/>
              <w:right w:val="single" w:color="auto" w:sz="4" w:space="0"/>
            </w:tcBorders>
            <w:noWrap w:val="0"/>
            <w:vAlign w:val="center"/>
          </w:tcPr>
          <w:p w14:paraId="6F2F5209">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中央抚恤补助经费</w:t>
            </w:r>
            <w:r>
              <w:rPr>
                <w:rFonts w:hint="default" w:ascii="Times New Roman" w:hAnsi="Times New Roman" w:eastAsia="宋体" w:cs="Times New Roman"/>
                <w:b/>
                <w:bCs/>
                <w:sz w:val="18"/>
                <w:szCs w:val="18"/>
                <w:lang w:eastAsia="zh-CN"/>
              </w:rPr>
              <w:t>（政府预算功能分类科目）</w:t>
            </w:r>
          </w:p>
        </w:tc>
        <w:tc>
          <w:tcPr>
            <w:tcW w:w="876" w:type="pct"/>
            <w:vMerge w:val="restart"/>
            <w:tcBorders>
              <w:top w:val="single" w:color="auto" w:sz="4" w:space="0"/>
              <w:left w:val="nil"/>
              <w:right w:val="single" w:color="auto" w:sz="4" w:space="0"/>
            </w:tcBorders>
            <w:noWrap w:val="0"/>
            <w:vAlign w:val="center"/>
          </w:tcPr>
          <w:p w14:paraId="65BE31BC">
            <w:pPr>
              <w:jc w:val="center"/>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备注</w:t>
            </w:r>
          </w:p>
        </w:tc>
      </w:tr>
      <w:tr w14:paraId="15A0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14:paraId="4A0F756B">
            <w:pPr>
              <w:jc w:val="center"/>
              <w:rPr>
                <w:rFonts w:hint="default" w:ascii="Times New Roman" w:hAnsi="Times New Roman" w:cs="Times New Roman"/>
                <w:sz w:val="18"/>
                <w:szCs w:val="18"/>
                <w:lang w:eastAsia="zh-CN"/>
              </w:rPr>
            </w:pPr>
          </w:p>
        </w:tc>
        <w:tc>
          <w:tcPr>
            <w:tcW w:w="343" w:type="pct"/>
            <w:vMerge w:val="continue"/>
            <w:tcBorders>
              <w:top w:val="single" w:color="auto" w:sz="4" w:space="0"/>
              <w:left w:val="nil"/>
              <w:bottom w:val="single" w:color="auto" w:sz="4" w:space="0"/>
              <w:right w:val="single" w:color="auto" w:sz="4" w:space="0"/>
            </w:tcBorders>
            <w:noWrap w:val="0"/>
            <w:vAlign w:val="center"/>
          </w:tcPr>
          <w:p w14:paraId="5D36831E">
            <w:pPr>
              <w:widowControl/>
              <w:jc w:val="center"/>
              <w:rPr>
                <w:rFonts w:hint="default" w:ascii="Times New Roman" w:hAnsi="Times New Roman" w:cs="Times New Roman"/>
                <w:sz w:val="18"/>
                <w:szCs w:val="18"/>
              </w:rPr>
            </w:pPr>
          </w:p>
        </w:tc>
        <w:tc>
          <w:tcPr>
            <w:tcW w:w="668" w:type="pct"/>
            <w:tcBorders>
              <w:top w:val="single" w:color="auto" w:sz="4" w:space="0"/>
              <w:left w:val="nil"/>
              <w:bottom w:val="single" w:color="auto" w:sz="4" w:space="0"/>
              <w:right w:val="single" w:color="auto" w:sz="4" w:space="0"/>
            </w:tcBorders>
            <w:noWrap w:val="0"/>
            <w:vAlign w:val="center"/>
          </w:tcPr>
          <w:p w14:paraId="59BE3824">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伤残抚恤</w:t>
            </w:r>
          </w:p>
          <w:p w14:paraId="5A38FECC">
            <w:pPr>
              <w:jc w:val="center"/>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（2080802伤残抚恤）</w:t>
            </w:r>
          </w:p>
        </w:tc>
        <w:tc>
          <w:tcPr>
            <w:tcW w:w="668" w:type="pct"/>
            <w:tcBorders>
              <w:top w:val="single" w:color="auto" w:sz="4" w:space="0"/>
              <w:left w:val="nil"/>
              <w:bottom w:val="single" w:color="auto" w:sz="4" w:space="0"/>
              <w:right w:val="single" w:color="auto" w:sz="4" w:space="0"/>
            </w:tcBorders>
            <w:noWrap w:val="0"/>
            <w:vAlign w:val="center"/>
          </w:tcPr>
          <w:p w14:paraId="2B7FD8AF">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死亡抚恤</w:t>
            </w:r>
          </w:p>
          <w:p w14:paraId="039837FD">
            <w:pPr>
              <w:jc w:val="center"/>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（2080801死亡抚恤）</w:t>
            </w:r>
          </w:p>
        </w:tc>
        <w:tc>
          <w:tcPr>
            <w:tcW w:w="1205" w:type="pct"/>
            <w:tcBorders>
              <w:top w:val="single" w:color="auto" w:sz="4" w:space="0"/>
              <w:left w:val="nil"/>
              <w:bottom w:val="single" w:color="auto" w:sz="4" w:space="0"/>
              <w:right w:val="single" w:color="auto" w:sz="4" w:space="0"/>
            </w:tcBorders>
            <w:noWrap w:val="0"/>
            <w:vAlign w:val="center"/>
          </w:tcPr>
          <w:p w14:paraId="446F8F5B">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在乡复员退伍军人生活补助</w:t>
            </w:r>
          </w:p>
          <w:p w14:paraId="5B405B24">
            <w:pPr>
              <w:jc w:val="center"/>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（2080803在乡复员退伍军人生活补助）</w:t>
            </w:r>
          </w:p>
        </w:tc>
        <w:tc>
          <w:tcPr>
            <w:tcW w:w="821" w:type="pct"/>
            <w:tcBorders>
              <w:top w:val="single" w:color="auto" w:sz="4" w:space="0"/>
              <w:left w:val="nil"/>
              <w:bottom w:val="single" w:color="auto" w:sz="4" w:space="0"/>
              <w:right w:val="single" w:color="auto" w:sz="4" w:space="0"/>
            </w:tcBorders>
            <w:noWrap w:val="0"/>
            <w:vAlign w:val="center"/>
          </w:tcPr>
          <w:p w14:paraId="263F0181">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其他优抚支出</w:t>
            </w:r>
          </w:p>
          <w:p w14:paraId="55A3556F">
            <w:pPr>
              <w:jc w:val="center"/>
              <w:rPr>
                <w:rFonts w:hint="default" w:ascii="Times New Roman" w:hAnsi="Times New Roman" w:eastAsia="宋体" w:cs="Times New Roman"/>
                <w:b/>
                <w:bCs/>
                <w:sz w:val="18"/>
                <w:szCs w:val="18"/>
                <w:lang w:eastAsia="zh-CN"/>
              </w:rPr>
            </w:pPr>
            <w:r>
              <w:rPr>
                <w:rFonts w:hint="default" w:ascii="Times New Roman" w:hAnsi="Times New Roman" w:eastAsia="宋体" w:cs="Times New Roman"/>
                <w:b/>
                <w:bCs/>
                <w:sz w:val="18"/>
                <w:szCs w:val="18"/>
                <w:lang w:eastAsia="zh-CN"/>
              </w:rPr>
              <w:t>（2080899其他优抚支出）</w:t>
            </w:r>
          </w:p>
        </w:tc>
        <w:tc>
          <w:tcPr>
            <w:tcW w:w="876" w:type="pct"/>
            <w:vMerge w:val="continue"/>
            <w:tcBorders>
              <w:left w:val="nil"/>
              <w:bottom w:val="single" w:color="auto" w:sz="4" w:space="0"/>
              <w:right w:val="single" w:color="auto" w:sz="4" w:space="0"/>
            </w:tcBorders>
            <w:noWrap w:val="0"/>
            <w:vAlign w:val="center"/>
          </w:tcPr>
          <w:p w14:paraId="3E211A22">
            <w:pPr>
              <w:jc w:val="center"/>
              <w:rPr>
                <w:rFonts w:hint="default" w:ascii="Times New Roman" w:hAnsi="Times New Roman" w:eastAsia="宋体" w:cs="Times New Roman"/>
                <w:sz w:val="18"/>
                <w:szCs w:val="18"/>
              </w:rPr>
            </w:pPr>
          </w:p>
        </w:tc>
      </w:tr>
      <w:tr w14:paraId="138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5DB2B44C">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梁河县退役军人事务局</w:t>
            </w:r>
          </w:p>
        </w:tc>
        <w:tc>
          <w:tcPr>
            <w:tcW w:w="343" w:type="pct"/>
            <w:tcBorders>
              <w:top w:val="single" w:color="auto" w:sz="4" w:space="0"/>
              <w:left w:val="nil"/>
              <w:bottom w:val="single" w:color="auto" w:sz="4" w:space="0"/>
              <w:right w:val="single" w:color="auto" w:sz="4" w:space="0"/>
            </w:tcBorders>
            <w:noWrap w:val="0"/>
            <w:vAlign w:val="center"/>
          </w:tcPr>
          <w:p w14:paraId="5996F3EF">
            <w:pPr>
              <w:keepNext w:val="0"/>
              <w:keepLines w:val="0"/>
              <w:widowControl/>
              <w:suppressLineNumbers w:val="0"/>
              <w:jc w:val="center"/>
              <w:textAlignment w:val="center"/>
              <w:rPr>
                <w:rFonts w:hint="default" w:ascii="Times New Roman" w:hAnsi="Times New Roman" w:eastAsia="方正仿宋_GBK" w:cs="Times New Roman"/>
                <w:b w:val="0"/>
                <w:bCs/>
                <w:color w:val="000000"/>
                <w:sz w:val="18"/>
                <w:szCs w:val="18"/>
                <w:lang w:val="en-US" w:eastAsia="zh-CN"/>
              </w:rPr>
            </w:pPr>
            <w:r>
              <w:rPr>
                <w:rFonts w:hint="default" w:ascii="Times New Roman" w:hAnsi="Times New Roman" w:eastAsia="方正仿宋_GBK" w:cs="Times New Roman"/>
                <w:b w:val="0"/>
                <w:bCs/>
                <w:color w:val="000000"/>
                <w:sz w:val="18"/>
                <w:szCs w:val="18"/>
                <w:lang w:val="en-US" w:eastAsia="zh-CN"/>
              </w:rPr>
              <w:t>38.23</w:t>
            </w:r>
          </w:p>
        </w:tc>
        <w:tc>
          <w:tcPr>
            <w:tcW w:w="668" w:type="pct"/>
            <w:tcBorders>
              <w:top w:val="single" w:color="auto" w:sz="4" w:space="0"/>
              <w:left w:val="nil"/>
              <w:bottom w:val="single" w:color="auto" w:sz="4" w:space="0"/>
              <w:right w:val="single" w:color="auto" w:sz="4" w:space="0"/>
            </w:tcBorders>
            <w:noWrap w:val="0"/>
            <w:vAlign w:val="center"/>
          </w:tcPr>
          <w:p w14:paraId="1E76DC39">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5.753</w:t>
            </w:r>
          </w:p>
        </w:tc>
        <w:tc>
          <w:tcPr>
            <w:tcW w:w="668" w:type="pct"/>
            <w:tcBorders>
              <w:top w:val="single" w:color="auto" w:sz="4" w:space="0"/>
              <w:left w:val="nil"/>
              <w:bottom w:val="single" w:color="auto" w:sz="4" w:space="0"/>
              <w:right w:val="single" w:color="auto" w:sz="4" w:space="0"/>
            </w:tcBorders>
            <w:noWrap w:val="0"/>
            <w:vAlign w:val="center"/>
          </w:tcPr>
          <w:p w14:paraId="527C9730">
            <w:pPr>
              <w:keepNext w:val="0"/>
              <w:keepLines w:val="0"/>
              <w:widowControl/>
              <w:suppressLineNumbers w:val="0"/>
              <w:jc w:val="center"/>
              <w:textAlignment w:val="center"/>
              <w:rPr>
                <w:rFonts w:hint="default" w:ascii="Times New Roman" w:hAnsi="Times New Roman" w:eastAsia="方正仿宋_GBK" w:cs="Times New Roman"/>
                <w:b w:val="0"/>
                <w:bCs/>
                <w:color w:val="000000"/>
                <w:sz w:val="18"/>
                <w:szCs w:val="18"/>
                <w:lang w:val="en-US" w:eastAsia="zh-CN"/>
              </w:rPr>
            </w:pPr>
            <w:r>
              <w:rPr>
                <w:rFonts w:hint="default" w:ascii="Times New Roman" w:hAnsi="Times New Roman" w:eastAsia="方正仿宋_GBK" w:cs="Times New Roman"/>
                <w:b w:val="0"/>
                <w:bCs/>
                <w:color w:val="000000"/>
                <w:sz w:val="18"/>
                <w:szCs w:val="18"/>
                <w:lang w:val="en-US" w:eastAsia="zh-CN"/>
              </w:rPr>
              <w:t>2.22</w:t>
            </w:r>
          </w:p>
        </w:tc>
        <w:tc>
          <w:tcPr>
            <w:tcW w:w="1205" w:type="pct"/>
            <w:tcBorders>
              <w:top w:val="single" w:color="auto" w:sz="4" w:space="0"/>
              <w:left w:val="nil"/>
              <w:bottom w:val="single" w:color="auto" w:sz="4" w:space="0"/>
              <w:right w:val="single" w:color="auto" w:sz="4" w:space="0"/>
            </w:tcBorders>
            <w:noWrap w:val="0"/>
            <w:vAlign w:val="center"/>
          </w:tcPr>
          <w:p w14:paraId="260C33C2">
            <w:pPr>
              <w:keepNext w:val="0"/>
              <w:keepLines w:val="0"/>
              <w:widowControl/>
              <w:suppressLineNumbers w:val="0"/>
              <w:jc w:val="center"/>
              <w:textAlignment w:val="center"/>
              <w:rPr>
                <w:rFonts w:hint="default" w:ascii="Times New Roman" w:hAnsi="Times New Roman" w:eastAsia="方正仿宋_GBK" w:cs="Times New Roman"/>
                <w:b w:val="0"/>
                <w:bCs/>
                <w:color w:val="000000"/>
                <w:sz w:val="18"/>
                <w:szCs w:val="18"/>
                <w:lang w:val="en-US" w:eastAsia="zh-CN"/>
              </w:rPr>
            </w:pPr>
            <w:r>
              <w:rPr>
                <w:rFonts w:hint="default" w:ascii="Times New Roman" w:hAnsi="Times New Roman" w:eastAsia="方正仿宋_GBK" w:cs="Times New Roman"/>
                <w:b w:val="0"/>
                <w:bCs/>
                <w:color w:val="000000"/>
                <w:sz w:val="18"/>
                <w:szCs w:val="18"/>
                <w:lang w:val="en-US" w:eastAsia="zh-CN"/>
              </w:rPr>
              <w:t>12.1375</w:t>
            </w:r>
          </w:p>
        </w:tc>
        <w:tc>
          <w:tcPr>
            <w:tcW w:w="821" w:type="pct"/>
            <w:tcBorders>
              <w:top w:val="single" w:color="auto" w:sz="4" w:space="0"/>
              <w:left w:val="nil"/>
              <w:bottom w:val="single" w:color="auto" w:sz="4" w:space="0"/>
              <w:right w:val="single" w:color="auto" w:sz="4" w:space="0"/>
            </w:tcBorders>
            <w:noWrap w:val="0"/>
            <w:vAlign w:val="center"/>
          </w:tcPr>
          <w:p w14:paraId="25FFFF22">
            <w:pPr>
              <w:keepNext w:val="0"/>
              <w:keepLines w:val="0"/>
              <w:widowControl/>
              <w:suppressLineNumbers w:val="0"/>
              <w:jc w:val="center"/>
              <w:textAlignment w:val="center"/>
              <w:rPr>
                <w:rFonts w:hint="default" w:ascii="Times New Roman" w:hAnsi="Times New Roman" w:eastAsia="方正仿宋_GBK" w:cs="Times New Roman"/>
                <w:b w:val="0"/>
                <w:bCs/>
                <w:color w:val="000000"/>
                <w:sz w:val="18"/>
                <w:szCs w:val="18"/>
                <w:lang w:val="en-US" w:eastAsia="zh-CN"/>
              </w:rPr>
            </w:pPr>
            <w:r>
              <w:rPr>
                <w:rFonts w:hint="default" w:ascii="Times New Roman" w:hAnsi="Times New Roman" w:eastAsia="方正仿宋_GBK" w:cs="Times New Roman"/>
                <w:b w:val="0"/>
                <w:bCs/>
                <w:color w:val="000000"/>
                <w:sz w:val="18"/>
                <w:szCs w:val="18"/>
                <w:lang w:val="en-US" w:eastAsia="zh-CN"/>
              </w:rPr>
              <w:t>18.1195</w:t>
            </w:r>
          </w:p>
        </w:tc>
        <w:tc>
          <w:tcPr>
            <w:tcW w:w="876" w:type="pct"/>
            <w:tcBorders>
              <w:top w:val="single" w:color="auto" w:sz="4" w:space="0"/>
              <w:left w:val="nil"/>
              <w:bottom w:val="single" w:color="auto" w:sz="4" w:space="0"/>
              <w:right w:val="single" w:color="auto" w:sz="4" w:space="0"/>
            </w:tcBorders>
            <w:noWrap w:val="0"/>
            <w:vAlign w:val="center"/>
          </w:tcPr>
          <w:p w14:paraId="2E19624F">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18"/>
                <w:szCs w:val="18"/>
                <w:u w:val="none"/>
                <w:lang w:val="en-US" w:eastAsia="zh-CN" w:bidi="ar"/>
              </w:rPr>
            </w:pPr>
            <w:r>
              <w:rPr>
                <w:rFonts w:hint="default" w:ascii="Times New Roman" w:hAnsi="Times New Roman" w:cs="Times New Roman"/>
                <w:color w:val="auto"/>
                <w:sz w:val="18"/>
                <w:szCs w:val="18"/>
                <w:lang w:val="en-US"/>
              </w:rPr>
              <w:t>按2023年退役军人事务部审定人数分配</w:t>
            </w:r>
            <w:r>
              <w:rPr>
                <w:rFonts w:hint="default" w:ascii="Times New Roman" w:hAnsi="Times New Roman" w:cs="Times New Roman"/>
                <w:color w:val="auto"/>
                <w:sz w:val="18"/>
                <w:szCs w:val="18"/>
                <w:lang w:val="en-US" w:eastAsia="zh-CN"/>
              </w:rPr>
              <w:t>资金（含死亡增发中央承担部分）</w:t>
            </w:r>
          </w:p>
        </w:tc>
      </w:tr>
    </w:tbl>
    <w:p w14:paraId="17C6C7DA">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921E57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734A97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D3414C3">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pgNumType w:fmt="decimal"/>
          <w:cols w:space="0" w:num="1"/>
          <w:rtlGutter w:val="0"/>
          <w:docGrid w:type="lines" w:linePitch="332" w:charSpace="0"/>
        </w:sectPr>
      </w:pPr>
    </w:p>
    <w:p w14:paraId="7776ECCB">
      <w:pPr>
        <w:rPr>
          <w:rFonts w:hint="eastAsia" w:ascii="Times New Roman" w:hAnsi="Times New Roman" w:eastAsia="方正黑体_GBK" w:cs="Times New Roman"/>
          <w:b w:val="0"/>
          <w:bCs/>
          <w:color w:val="auto"/>
          <w:sz w:val="32"/>
          <w:lang w:eastAsia="zh-CN"/>
        </w:rPr>
      </w:pPr>
      <w:r>
        <w:rPr>
          <w:rFonts w:hint="default" w:ascii="Times New Roman" w:hAnsi="Times New Roman" w:eastAsia="方正黑体_GBK" w:cs="Times New Roman"/>
          <w:b w:val="0"/>
          <w:bCs/>
          <w:color w:val="auto"/>
          <w:sz w:val="32"/>
        </w:rPr>
        <w:t>附件2</w:t>
      </w:r>
      <w:r>
        <w:rPr>
          <w:rFonts w:hint="eastAsia" w:ascii="Times New Roman" w:hAnsi="Times New Roman" w:eastAsia="方正黑体_GBK" w:cs="Times New Roman"/>
          <w:b w:val="0"/>
          <w:bCs/>
          <w:color w:val="auto"/>
          <w:sz w:val="32"/>
          <w:lang w:eastAsia="zh-CN"/>
        </w:rPr>
        <w:t>：</w:t>
      </w:r>
    </w:p>
    <w:p w14:paraId="2736300D">
      <w:pPr>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2023年中央优抚对象补助经费预算（第三批）绩效目标表</w:t>
      </w:r>
    </w:p>
    <w:p w14:paraId="1E5975E9">
      <w:pPr>
        <w:pStyle w:val="2"/>
        <w:rPr>
          <w:rFonts w:hint="default"/>
        </w:rPr>
      </w:pPr>
    </w:p>
    <w:tbl>
      <w:tblPr>
        <w:tblStyle w:val="6"/>
        <w:tblW w:w="1035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40"/>
        <w:gridCol w:w="1750"/>
        <w:gridCol w:w="4174"/>
        <w:gridCol w:w="2030"/>
      </w:tblGrid>
      <w:tr w14:paraId="0F45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center"/>
          </w:tcPr>
          <w:p w14:paraId="15BC3EE9">
            <w:pPr>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0"/>
                <w:sz w:val="28"/>
                <w:szCs w:val="28"/>
              </w:rPr>
              <w:t>项目名称</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14:paraId="5A79FC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2023年中央优抚对象补助经费预算（第三批）</w:t>
            </w:r>
          </w:p>
        </w:tc>
      </w:tr>
      <w:tr w14:paraId="6ECC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center"/>
          </w:tcPr>
          <w:p w14:paraId="536EE68A">
            <w:pPr>
              <w:jc w:val="center"/>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spacing w:val="0"/>
                <w:kern w:val="0"/>
                <w:sz w:val="28"/>
                <w:szCs w:val="28"/>
                <w:lang w:eastAsia="zh-CN"/>
              </w:rPr>
              <w:t>项目实施</w:t>
            </w:r>
            <w:r>
              <w:rPr>
                <w:rFonts w:hint="default" w:ascii="Times New Roman" w:hAnsi="Times New Roman" w:eastAsia="方正仿宋_GBK" w:cs="Times New Roman"/>
                <w:spacing w:val="0"/>
                <w:kern w:val="0"/>
                <w:sz w:val="28"/>
                <w:szCs w:val="28"/>
              </w:rPr>
              <w:t>部门</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14:paraId="0A63A2FB">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8"/>
                <w:szCs w:val="28"/>
              </w:rPr>
              <w:t>德宏州</w:t>
            </w:r>
            <w:r>
              <w:rPr>
                <w:rFonts w:hint="default" w:ascii="Times New Roman" w:hAnsi="Times New Roman" w:eastAsia="方正仿宋_GBK" w:cs="Times New Roman"/>
                <w:kern w:val="0"/>
                <w:sz w:val="28"/>
                <w:szCs w:val="28"/>
                <w:lang w:eastAsia="zh-CN"/>
              </w:rPr>
              <w:t>退役军人事务局</w:t>
            </w:r>
          </w:p>
        </w:tc>
      </w:tr>
      <w:tr w14:paraId="7E08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50" w:type="dxa"/>
            <w:gridSpan w:val="3"/>
            <w:tcBorders>
              <w:top w:val="nil"/>
              <w:left w:val="single" w:color="auto" w:sz="4" w:space="0"/>
              <w:bottom w:val="single" w:color="auto" w:sz="4" w:space="0"/>
              <w:right w:val="single" w:color="auto" w:sz="4" w:space="0"/>
            </w:tcBorders>
            <w:noWrap w:val="0"/>
            <w:vAlign w:val="center"/>
          </w:tcPr>
          <w:p w14:paraId="0315F765">
            <w:pPr>
              <w:jc w:val="center"/>
              <w:rPr>
                <w:rFonts w:hint="eastAsia"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8"/>
                <w:szCs w:val="28"/>
                <w:lang w:eastAsia="zh-CN"/>
              </w:rPr>
              <w:t>项目</w:t>
            </w:r>
            <w:r>
              <w:rPr>
                <w:rFonts w:hint="default" w:ascii="Times New Roman" w:hAnsi="Times New Roman" w:eastAsia="方正仿宋_GBK" w:cs="Times New Roman"/>
                <w:kern w:val="0"/>
                <w:sz w:val="28"/>
                <w:szCs w:val="28"/>
              </w:rPr>
              <w:t>资金</w:t>
            </w:r>
            <w:r>
              <w:rPr>
                <w:rFonts w:hint="eastAsia" w:ascii="Times New Roman" w:hAnsi="Times New Roman" w:eastAsia="方正仿宋_GBK" w:cs="Times New Roman"/>
                <w:kern w:val="0"/>
                <w:sz w:val="28"/>
                <w:szCs w:val="28"/>
                <w:lang w:eastAsia="zh-CN"/>
              </w:rPr>
              <w:t>（万元）</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14:paraId="111CD109">
            <w:pPr>
              <w:jc w:val="center"/>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b w:val="0"/>
                <w:bCs/>
                <w:color w:val="000000"/>
                <w:sz w:val="28"/>
                <w:szCs w:val="28"/>
                <w:lang w:val="en-US" w:eastAsia="zh-CN"/>
              </w:rPr>
              <w:t>270.35</w:t>
            </w:r>
          </w:p>
        </w:tc>
      </w:tr>
      <w:tr w14:paraId="2EFC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60" w:type="dxa"/>
            <w:tcBorders>
              <w:top w:val="single" w:color="auto" w:sz="4" w:space="0"/>
              <w:left w:val="single" w:color="auto" w:sz="4" w:space="0"/>
              <w:bottom w:val="single" w:color="auto" w:sz="4" w:space="0"/>
              <w:right w:val="single" w:color="auto" w:sz="4" w:space="0"/>
            </w:tcBorders>
            <w:noWrap w:val="0"/>
            <w:vAlign w:val="top"/>
          </w:tcPr>
          <w:p w14:paraId="596FB3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年度总体目标</w:t>
            </w:r>
          </w:p>
        </w:tc>
        <w:tc>
          <w:tcPr>
            <w:tcW w:w="9394" w:type="dxa"/>
            <w:gridSpan w:val="4"/>
            <w:tcBorders>
              <w:top w:val="single" w:color="auto" w:sz="4" w:space="0"/>
              <w:left w:val="nil"/>
              <w:bottom w:val="single" w:color="auto" w:sz="4" w:space="0"/>
              <w:right w:val="single" w:color="auto" w:sz="4" w:space="0"/>
            </w:tcBorders>
            <w:noWrap w:val="0"/>
            <w:vAlign w:val="top"/>
          </w:tcPr>
          <w:p w14:paraId="4F9AC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向全州符合享受</w:t>
            </w:r>
            <w:r>
              <w:rPr>
                <w:rFonts w:hint="eastAsia" w:ascii="Times New Roman" w:hAnsi="Times New Roman" w:eastAsia="方正仿宋_GBK" w:cs="Times New Roman"/>
                <w:kern w:val="0"/>
                <w:sz w:val="24"/>
                <w:szCs w:val="24"/>
                <w:lang w:eastAsia="zh-CN"/>
              </w:rPr>
              <w:t>补助经费</w:t>
            </w:r>
            <w:r>
              <w:rPr>
                <w:rFonts w:hint="default" w:ascii="Times New Roman" w:hAnsi="Times New Roman" w:eastAsia="方正仿宋_GBK" w:cs="Times New Roman"/>
                <w:kern w:val="0"/>
                <w:sz w:val="24"/>
                <w:szCs w:val="24"/>
              </w:rPr>
              <w:t>条件的重点优抚对象发放补助</w:t>
            </w:r>
            <w:r>
              <w:rPr>
                <w:rFonts w:hint="default" w:ascii="Times New Roman" w:hAnsi="Times New Roman" w:eastAsia="方正仿宋_GBK" w:cs="Times New Roman"/>
                <w:kern w:val="0"/>
                <w:sz w:val="24"/>
                <w:szCs w:val="24"/>
                <w:lang w:eastAsia="zh-CN"/>
              </w:rPr>
              <w:t>，通过发放优抚对象补助经费，使优抚对象等人员的基本生活得到有效保障。</w:t>
            </w:r>
          </w:p>
        </w:tc>
      </w:tr>
      <w:tr w14:paraId="0E5F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60" w:type="dxa"/>
            <w:vMerge w:val="restart"/>
            <w:tcBorders>
              <w:top w:val="nil"/>
              <w:left w:val="single" w:color="auto" w:sz="4" w:space="0"/>
              <w:bottom w:val="single" w:color="auto" w:sz="4" w:space="0"/>
              <w:right w:val="single" w:color="auto" w:sz="4" w:space="0"/>
            </w:tcBorders>
            <w:noWrap w:val="0"/>
            <w:vAlign w:val="top"/>
          </w:tcPr>
          <w:p w14:paraId="214FE87F">
            <w:pPr>
              <w:jc w:val="center"/>
              <w:rPr>
                <w:rFonts w:hint="default" w:ascii="Times New Roman" w:hAnsi="Times New Roman" w:eastAsia="方正仿宋_GBK" w:cs="Times New Roman"/>
                <w:kern w:val="2"/>
                <w:sz w:val="21"/>
              </w:rPr>
            </w:pPr>
          </w:p>
          <w:p w14:paraId="469E21A1">
            <w:pPr>
              <w:jc w:val="center"/>
              <w:rPr>
                <w:rFonts w:hint="default" w:ascii="Times New Roman" w:hAnsi="Times New Roman" w:eastAsia="方正仿宋_GBK" w:cs="Times New Roman"/>
                <w:kern w:val="0"/>
                <w:sz w:val="20"/>
              </w:rPr>
            </w:pPr>
          </w:p>
          <w:p w14:paraId="0D7B1F0E">
            <w:pPr>
              <w:jc w:val="center"/>
              <w:rPr>
                <w:rFonts w:hint="default" w:ascii="Times New Roman" w:hAnsi="Times New Roman" w:eastAsia="方正仿宋_GBK" w:cs="Times New Roman"/>
                <w:kern w:val="0"/>
                <w:sz w:val="28"/>
                <w:szCs w:val="28"/>
              </w:rPr>
            </w:pPr>
          </w:p>
          <w:p w14:paraId="19AF7160">
            <w:pPr>
              <w:jc w:val="center"/>
              <w:rPr>
                <w:rFonts w:hint="default" w:ascii="Times New Roman" w:hAnsi="Times New Roman" w:eastAsia="方正仿宋_GBK" w:cs="Times New Roman"/>
                <w:kern w:val="0"/>
                <w:sz w:val="28"/>
                <w:szCs w:val="28"/>
              </w:rPr>
            </w:pPr>
          </w:p>
          <w:p w14:paraId="65AD6A51">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绩</w:t>
            </w:r>
          </w:p>
          <w:p w14:paraId="6435DAF3">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w:t>
            </w:r>
          </w:p>
          <w:p w14:paraId="4437790D">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目</w:t>
            </w:r>
          </w:p>
          <w:p w14:paraId="188EA623">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14:paraId="6ED6DBFB">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一级指标</w:t>
            </w:r>
          </w:p>
        </w:tc>
        <w:tc>
          <w:tcPr>
            <w:tcW w:w="1750" w:type="dxa"/>
            <w:tcBorders>
              <w:top w:val="single" w:color="auto" w:sz="4" w:space="0"/>
              <w:left w:val="nil"/>
              <w:bottom w:val="single" w:color="auto" w:sz="4" w:space="0"/>
              <w:right w:val="single" w:color="auto" w:sz="4" w:space="0"/>
            </w:tcBorders>
            <w:noWrap w:val="0"/>
            <w:vAlign w:val="center"/>
          </w:tcPr>
          <w:p w14:paraId="0F7DFF70">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二级指标</w:t>
            </w:r>
          </w:p>
        </w:tc>
        <w:tc>
          <w:tcPr>
            <w:tcW w:w="4174" w:type="dxa"/>
            <w:tcBorders>
              <w:top w:val="single" w:color="auto" w:sz="4" w:space="0"/>
              <w:left w:val="nil"/>
              <w:bottom w:val="single" w:color="auto" w:sz="4" w:space="0"/>
              <w:right w:val="single" w:color="auto" w:sz="4" w:space="0"/>
            </w:tcBorders>
            <w:noWrap w:val="0"/>
            <w:vAlign w:val="center"/>
          </w:tcPr>
          <w:p w14:paraId="5329C1BE">
            <w:pPr>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0"/>
                <w:sz w:val="24"/>
                <w:szCs w:val="24"/>
                <w:lang w:eastAsia="zh-CN"/>
              </w:rPr>
              <w:t>三</w:t>
            </w:r>
            <w:r>
              <w:rPr>
                <w:rFonts w:hint="default" w:ascii="Times New Roman" w:hAnsi="Times New Roman" w:eastAsia="方正仿宋_GBK" w:cs="Times New Roman"/>
                <w:kern w:val="0"/>
                <w:sz w:val="24"/>
                <w:szCs w:val="24"/>
              </w:rPr>
              <w:t>级指标</w:t>
            </w:r>
          </w:p>
        </w:tc>
        <w:tc>
          <w:tcPr>
            <w:tcW w:w="2030" w:type="dxa"/>
            <w:tcBorders>
              <w:top w:val="single" w:color="auto" w:sz="4" w:space="0"/>
              <w:left w:val="nil"/>
              <w:bottom w:val="single" w:color="auto" w:sz="4" w:space="0"/>
              <w:right w:val="single" w:color="auto" w:sz="4" w:space="0"/>
            </w:tcBorders>
            <w:noWrap w:val="0"/>
            <w:vAlign w:val="center"/>
          </w:tcPr>
          <w:p w14:paraId="691A4D62">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指标值</w:t>
            </w:r>
          </w:p>
        </w:tc>
      </w:tr>
      <w:tr w14:paraId="4835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60" w:type="dxa"/>
            <w:vMerge w:val="continue"/>
            <w:tcBorders>
              <w:top w:val="nil"/>
              <w:left w:val="single" w:color="auto" w:sz="4" w:space="0"/>
              <w:bottom w:val="single" w:color="auto" w:sz="4" w:space="0"/>
              <w:right w:val="single" w:color="auto" w:sz="4" w:space="0"/>
            </w:tcBorders>
            <w:noWrap w:val="0"/>
            <w:vAlign w:val="center"/>
          </w:tcPr>
          <w:p w14:paraId="6F5AAC38">
            <w:pPr>
              <w:widowControl/>
              <w:jc w:val="left"/>
              <w:rPr>
                <w:rFonts w:hint="default" w:ascii="Times New Roman" w:hAnsi="Times New Roman" w:eastAsia="方正仿宋_GBK" w:cs="Times New Roman"/>
                <w:kern w:val="2"/>
                <w:sz w:val="21"/>
              </w:rPr>
            </w:pPr>
          </w:p>
        </w:tc>
        <w:tc>
          <w:tcPr>
            <w:tcW w:w="1440" w:type="dxa"/>
            <w:vMerge w:val="restart"/>
            <w:tcBorders>
              <w:top w:val="nil"/>
              <w:left w:val="nil"/>
              <w:bottom w:val="single" w:color="auto" w:sz="4" w:space="0"/>
              <w:right w:val="single" w:color="auto" w:sz="4" w:space="0"/>
            </w:tcBorders>
            <w:noWrap w:val="0"/>
            <w:vAlign w:val="center"/>
          </w:tcPr>
          <w:p w14:paraId="18640FDE">
            <w:pPr>
              <w:jc w:val="center"/>
              <w:rPr>
                <w:rFonts w:hint="default" w:ascii="Times New Roman" w:hAnsi="Times New Roman" w:eastAsia="方正仿宋_GBK" w:cs="Times New Roman"/>
                <w:kern w:val="2"/>
                <w:sz w:val="24"/>
                <w:szCs w:val="24"/>
              </w:rPr>
            </w:pPr>
          </w:p>
          <w:p w14:paraId="14C12169">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产出指标</w:t>
            </w:r>
          </w:p>
        </w:tc>
        <w:tc>
          <w:tcPr>
            <w:tcW w:w="1750" w:type="dxa"/>
            <w:tcBorders>
              <w:top w:val="nil"/>
              <w:left w:val="nil"/>
              <w:right w:val="single" w:color="auto" w:sz="4" w:space="0"/>
            </w:tcBorders>
            <w:noWrap w:val="0"/>
            <w:vAlign w:val="center"/>
          </w:tcPr>
          <w:p w14:paraId="10A69311">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数量指标</w:t>
            </w:r>
          </w:p>
        </w:tc>
        <w:tc>
          <w:tcPr>
            <w:tcW w:w="4174" w:type="dxa"/>
            <w:tcBorders>
              <w:top w:val="single" w:color="auto" w:sz="4" w:space="0"/>
              <w:left w:val="nil"/>
              <w:right w:val="single" w:color="auto" w:sz="4" w:space="0"/>
            </w:tcBorders>
            <w:noWrap w:val="0"/>
            <w:vAlign w:val="center"/>
          </w:tcPr>
          <w:p w14:paraId="4C78AAE8">
            <w:pPr>
              <w:jc w:val="left"/>
              <w:rPr>
                <w:rFonts w:hint="default" w:ascii="Times New Roman" w:hAnsi="Times New Roman" w:eastAsia="方正仿宋_GBK" w:cs="Times New Roman"/>
                <w:spacing w:val="-20"/>
                <w:kern w:val="2"/>
                <w:sz w:val="24"/>
                <w:szCs w:val="24"/>
                <w:lang w:val="en-US" w:eastAsia="zh-CN"/>
              </w:rPr>
            </w:pPr>
            <w:r>
              <w:rPr>
                <w:rFonts w:hint="eastAsia" w:ascii="Times New Roman" w:hAnsi="Times New Roman" w:eastAsia="方正仿宋_GBK" w:cs="Times New Roman"/>
                <w:spacing w:val="-20"/>
                <w:kern w:val="2"/>
                <w:sz w:val="24"/>
                <w:szCs w:val="24"/>
                <w:lang w:eastAsia="zh-CN"/>
              </w:rPr>
              <w:t>优抚对象补助经费发放人数</w:t>
            </w:r>
          </w:p>
        </w:tc>
        <w:tc>
          <w:tcPr>
            <w:tcW w:w="2030" w:type="dxa"/>
            <w:tcBorders>
              <w:top w:val="single" w:color="auto" w:sz="4" w:space="0"/>
              <w:left w:val="nil"/>
              <w:bottom w:val="single" w:color="auto" w:sz="4" w:space="0"/>
              <w:right w:val="single" w:color="auto" w:sz="4" w:space="0"/>
            </w:tcBorders>
            <w:noWrap w:val="0"/>
            <w:vAlign w:val="center"/>
          </w:tcPr>
          <w:p w14:paraId="7DC622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val="en-US" w:eastAsia="zh-CN"/>
              </w:rPr>
              <w:t>0.4万</w:t>
            </w:r>
            <w:r>
              <w:rPr>
                <w:rFonts w:hint="default" w:ascii="Times New Roman" w:hAnsi="Times New Roman" w:eastAsia="方正仿宋_GBK" w:cs="Times New Roman"/>
                <w:kern w:val="0"/>
                <w:sz w:val="24"/>
                <w:szCs w:val="24"/>
              </w:rPr>
              <w:t>人。</w:t>
            </w:r>
          </w:p>
        </w:tc>
      </w:tr>
      <w:tr w14:paraId="0A51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0" w:type="dxa"/>
            <w:vMerge w:val="continue"/>
            <w:tcBorders>
              <w:top w:val="nil"/>
              <w:left w:val="single" w:color="auto" w:sz="4" w:space="0"/>
              <w:bottom w:val="single" w:color="auto" w:sz="4" w:space="0"/>
              <w:right w:val="single" w:color="auto" w:sz="4" w:space="0"/>
            </w:tcBorders>
            <w:noWrap w:val="0"/>
            <w:vAlign w:val="center"/>
          </w:tcPr>
          <w:p w14:paraId="474A762D">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14:paraId="5C648AAB">
            <w:pPr>
              <w:widowControl/>
              <w:jc w:val="center"/>
              <w:rPr>
                <w:rFonts w:hint="default" w:ascii="Times New Roman" w:hAnsi="Times New Roman" w:eastAsia="方正仿宋_GBK" w:cs="Times New Roman"/>
                <w:kern w:val="2"/>
                <w:sz w:val="24"/>
                <w:szCs w:val="24"/>
              </w:rPr>
            </w:pPr>
          </w:p>
        </w:tc>
        <w:tc>
          <w:tcPr>
            <w:tcW w:w="1750" w:type="dxa"/>
            <w:vMerge w:val="restart"/>
            <w:tcBorders>
              <w:left w:val="nil"/>
              <w:right w:val="single" w:color="auto" w:sz="4" w:space="0"/>
            </w:tcBorders>
            <w:noWrap w:val="0"/>
            <w:vAlign w:val="center"/>
          </w:tcPr>
          <w:p w14:paraId="1D3C763B">
            <w:pPr>
              <w:jc w:val="center"/>
              <w:rPr>
                <w:rFonts w:hint="eastAsia"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质量指标</w:t>
            </w:r>
          </w:p>
        </w:tc>
        <w:tc>
          <w:tcPr>
            <w:tcW w:w="4174" w:type="dxa"/>
            <w:tcBorders>
              <w:top w:val="single" w:color="auto" w:sz="4" w:space="0"/>
              <w:left w:val="nil"/>
              <w:bottom w:val="single" w:color="auto" w:sz="4" w:space="0"/>
              <w:right w:val="single" w:color="auto" w:sz="4" w:space="0"/>
            </w:tcBorders>
            <w:noWrap w:val="0"/>
            <w:vAlign w:val="center"/>
          </w:tcPr>
          <w:p w14:paraId="780A4B6E">
            <w:pPr>
              <w:jc w:val="left"/>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lang w:eastAsia="zh-CN"/>
              </w:rPr>
              <w:t>经费足额拨付率</w:t>
            </w:r>
          </w:p>
        </w:tc>
        <w:tc>
          <w:tcPr>
            <w:tcW w:w="2030" w:type="dxa"/>
            <w:tcBorders>
              <w:top w:val="single" w:color="auto" w:sz="4" w:space="0"/>
              <w:left w:val="nil"/>
              <w:bottom w:val="single" w:color="auto" w:sz="4" w:space="0"/>
              <w:right w:val="single" w:color="auto" w:sz="4" w:space="0"/>
            </w:tcBorders>
            <w:noWrap w:val="0"/>
            <w:vAlign w:val="center"/>
          </w:tcPr>
          <w:p w14:paraId="3377C881">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14:paraId="5123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60" w:type="dxa"/>
            <w:vMerge w:val="continue"/>
            <w:tcBorders>
              <w:top w:val="nil"/>
              <w:left w:val="single" w:color="auto" w:sz="4" w:space="0"/>
              <w:bottom w:val="single" w:color="auto" w:sz="4" w:space="0"/>
              <w:right w:val="single" w:color="auto" w:sz="4" w:space="0"/>
            </w:tcBorders>
            <w:noWrap w:val="0"/>
            <w:vAlign w:val="center"/>
          </w:tcPr>
          <w:p w14:paraId="534D0303">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14:paraId="29287C1C">
            <w:pPr>
              <w:widowControl/>
              <w:jc w:val="center"/>
              <w:rPr>
                <w:rFonts w:hint="default" w:ascii="Times New Roman" w:hAnsi="Times New Roman" w:eastAsia="方正仿宋_GBK" w:cs="Times New Roman"/>
                <w:kern w:val="2"/>
                <w:sz w:val="24"/>
                <w:szCs w:val="24"/>
              </w:rPr>
            </w:pPr>
          </w:p>
        </w:tc>
        <w:tc>
          <w:tcPr>
            <w:tcW w:w="1750" w:type="dxa"/>
            <w:vMerge w:val="continue"/>
            <w:tcBorders>
              <w:left w:val="nil"/>
              <w:bottom w:val="single" w:color="auto" w:sz="4" w:space="0"/>
              <w:right w:val="single" w:color="auto" w:sz="4" w:space="0"/>
            </w:tcBorders>
            <w:noWrap w:val="0"/>
            <w:vAlign w:val="center"/>
          </w:tcPr>
          <w:p w14:paraId="39ACBDA8">
            <w:pPr>
              <w:jc w:val="center"/>
              <w:rPr>
                <w:rFonts w:hint="eastAsia" w:ascii="Times New Roman" w:hAnsi="Times New Roman" w:eastAsia="方正仿宋_GBK" w:cs="Times New Roman"/>
                <w:kern w:val="0"/>
                <w:sz w:val="24"/>
                <w:szCs w:val="24"/>
                <w:lang w:eastAsia="zh-CN"/>
              </w:rPr>
            </w:pPr>
          </w:p>
        </w:tc>
        <w:tc>
          <w:tcPr>
            <w:tcW w:w="4174" w:type="dxa"/>
            <w:tcBorders>
              <w:top w:val="single" w:color="auto" w:sz="4" w:space="0"/>
              <w:left w:val="nil"/>
              <w:bottom w:val="single" w:color="auto" w:sz="4" w:space="0"/>
              <w:right w:val="single" w:color="auto" w:sz="4" w:space="0"/>
            </w:tcBorders>
            <w:noWrap w:val="0"/>
            <w:vAlign w:val="center"/>
          </w:tcPr>
          <w:p w14:paraId="49C72B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各类优抚对象补助标准按规定执行</w:t>
            </w:r>
            <w:r>
              <w:rPr>
                <w:rFonts w:hint="default" w:ascii="Times New Roman" w:hAnsi="Times New Roman" w:eastAsia="方正仿宋_GBK" w:cs="Times New Roman"/>
                <w:kern w:val="0"/>
                <w:sz w:val="24"/>
                <w:szCs w:val="24"/>
                <w:lang w:eastAsia="zh-CN"/>
              </w:rPr>
              <w:t>率</w:t>
            </w:r>
          </w:p>
        </w:tc>
        <w:tc>
          <w:tcPr>
            <w:tcW w:w="2030" w:type="dxa"/>
            <w:tcBorders>
              <w:top w:val="single" w:color="auto" w:sz="4" w:space="0"/>
              <w:left w:val="nil"/>
              <w:bottom w:val="single" w:color="auto" w:sz="4" w:space="0"/>
              <w:right w:val="single" w:color="auto" w:sz="4" w:space="0"/>
            </w:tcBorders>
            <w:noWrap w:val="0"/>
            <w:vAlign w:val="center"/>
          </w:tcPr>
          <w:p w14:paraId="41536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100%</w:t>
            </w:r>
          </w:p>
        </w:tc>
      </w:tr>
      <w:tr w14:paraId="6C71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60" w:type="dxa"/>
            <w:vMerge w:val="continue"/>
            <w:tcBorders>
              <w:top w:val="nil"/>
              <w:left w:val="single" w:color="auto" w:sz="4" w:space="0"/>
              <w:bottom w:val="single" w:color="auto" w:sz="4" w:space="0"/>
              <w:right w:val="single" w:color="auto" w:sz="4" w:space="0"/>
            </w:tcBorders>
            <w:noWrap w:val="0"/>
            <w:vAlign w:val="center"/>
          </w:tcPr>
          <w:p w14:paraId="79913F7B">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14:paraId="14570FBB">
            <w:pPr>
              <w:widowControl/>
              <w:jc w:val="center"/>
              <w:rPr>
                <w:rFonts w:hint="default" w:ascii="Times New Roman" w:hAnsi="Times New Roman" w:eastAsia="方正仿宋_GBK" w:cs="Times New Roman"/>
                <w:kern w:val="2"/>
                <w:sz w:val="24"/>
                <w:szCs w:val="24"/>
              </w:rPr>
            </w:pPr>
          </w:p>
        </w:tc>
        <w:tc>
          <w:tcPr>
            <w:tcW w:w="1750" w:type="dxa"/>
            <w:tcBorders>
              <w:top w:val="single" w:color="auto" w:sz="4" w:space="0"/>
              <w:left w:val="nil"/>
              <w:bottom w:val="single" w:color="auto" w:sz="4" w:space="0"/>
              <w:right w:val="single" w:color="auto" w:sz="4" w:space="0"/>
            </w:tcBorders>
            <w:noWrap w:val="0"/>
            <w:vAlign w:val="center"/>
          </w:tcPr>
          <w:p w14:paraId="7B341A5D">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时效指标</w:t>
            </w:r>
          </w:p>
        </w:tc>
        <w:tc>
          <w:tcPr>
            <w:tcW w:w="4174" w:type="dxa"/>
            <w:tcBorders>
              <w:top w:val="single" w:color="auto" w:sz="4" w:space="0"/>
              <w:left w:val="nil"/>
              <w:bottom w:val="single" w:color="auto" w:sz="4" w:space="0"/>
              <w:right w:val="single" w:color="auto" w:sz="4" w:space="0"/>
            </w:tcBorders>
            <w:noWrap w:val="0"/>
            <w:vAlign w:val="center"/>
          </w:tcPr>
          <w:p w14:paraId="6F3BEB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优抚对象补助</w:t>
            </w:r>
            <w:r>
              <w:rPr>
                <w:rFonts w:hint="eastAsia" w:ascii="Times New Roman" w:hAnsi="Times New Roman" w:eastAsia="方正仿宋_GBK" w:cs="Times New Roman"/>
                <w:kern w:val="0"/>
                <w:sz w:val="24"/>
                <w:szCs w:val="24"/>
                <w:lang w:eastAsia="zh-CN"/>
              </w:rPr>
              <w:t>经费</w:t>
            </w:r>
            <w:r>
              <w:rPr>
                <w:rFonts w:hint="default" w:ascii="Times New Roman" w:hAnsi="Times New Roman" w:eastAsia="方正仿宋_GBK" w:cs="Times New Roman"/>
                <w:kern w:val="0"/>
                <w:sz w:val="24"/>
                <w:szCs w:val="24"/>
                <w:lang w:eastAsia="zh-CN"/>
              </w:rPr>
              <w:t>及时拨付率</w:t>
            </w:r>
          </w:p>
        </w:tc>
        <w:tc>
          <w:tcPr>
            <w:tcW w:w="2030" w:type="dxa"/>
            <w:tcBorders>
              <w:top w:val="single" w:color="auto" w:sz="4" w:space="0"/>
              <w:left w:val="nil"/>
              <w:bottom w:val="single" w:color="auto" w:sz="4" w:space="0"/>
              <w:right w:val="single" w:color="auto" w:sz="4" w:space="0"/>
            </w:tcBorders>
            <w:noWrap w:val="0"/>
            <w:vAlign w:val="center"/>
          </w:tcPr>
          <w:p w14:paraId="4D6048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lang w:val="en-US" w:eastAsia="zh-CN"/>
              </w:rPr>
              <w:t>100%</w:t>
            </w:r>
          </w:p>
        </w:tc>
      </w:tr>
      <w:tr w14:paraId="795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60" w:type="dxa"/>
            <w:vMerge w:val="continue"/>
            <w:tcBorders>
              <w:top w:val="nil"/>
              <w:left w:val="single" w:color="auto" w:sz="4" w:space="0"/>
              <w:bottom w:val="single" w:color="auto" w:sz="4" w:space="0"/>
              <w:right w:val="single" w:color="auto" w:sz="4" w:space="0"/>
            </w:tcBorders>
            <w:noWrap w:val="0"/>
            <w:vAlign w:val="center"/>
          </w:tcPr>
          <w:p w14:paraId="2CDD8CB3">
            <w:pPr>
              <w:widowControl/>
              <w:jc w:val="left"/>
              <w:rPr>
                <w:rFonts w:hint="default" w:ascii="Times New Roman" w:hAnsi="Times New Roman" w:eastAsia="方正仿宋_GBK" w:cs="Times New Roman"/>
                <w:kern w:val="2"/>
                <w:sz w:val="21"/>
              </w:rPr>
            </w:pPr>
          </w:p>
        </w:tc>
        <w:tc>
          <w:tcPr>
            <w:tcW w:w="1440" w:type="dxa"/>
            <w:tcBorders>
              <w:top w:val="nil"/>
              <w:left w:val="nil"/>
              <w:bottom w:val="single" w:color="auto" w:sz="4" w:space="0"/>
              <w:right w:val="single" w:color="auto" w:sz="4" w:space="0"/>
            </w:tcBorders>
            <w:noWrap w:val="0"/>
            <w:vAlign w:val="center"/>
          </w:tcPr>
          <w:p w14:paraId="565A22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效益指标</w:t>
            </w:r>
          </w:p>
        </w:tc>
        <w:tc>
          <w:tcPr>
            <w:tcW w:w="1750" w:type="dxa"/>
            <w:tcBorders>
              <w:top w:val="nil"/>
              <w:left w:val="nil"/>
              <w:bottom w:val="single" w:color="auto" w:sz="4" w:space="0"/>
              <w:right w:val="single" w:color="auto" w:sz="4" w:space="0"/>
            </w:tcBorders>
            <w:noWrap w:val="0"/>
            <w:vAlign w:val="center"/>
          </w:tcPr>
          <w:p w14:paraId="454C39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社会效益指</w:t>
            </w:r>
            <w:r>
              <w:rPr>
                <w:rFonts w:hint="eastAsia" w:ascii="Times New Roman" w:hAnsi="Times New Roman" w:eastAsia="方正仿宋_GBK" w:cs="Times New Roman"/>
                <w:kern w:val="0"/>
                <w:sz w:val="24"/>
                <w:szCs w:val="24"/>
                <w:lang w:eastAsia="zh-CN"/>
              </w:rPr>
              <w:t>标</w:t>
            </w:r>
          </w:p>
        </w:tc>
        <w:tc>
          <w:tcPr>
            <w:tcW w:w="4174" w:type="dxa"/>
            <w:tcBorders>
              <w:top w:val="single" w:color="auto" w:sz="4" w:space="0"/>
              <w:left w:val="nil"/>
              <w:right w:val="single" w:color="auto" w:sz="4" w:space="0"/>
            </w:tcBorders>
            <w:noWrap w:val="0"/>
            <w:vAlign w:val="center"/>
          </w:tcPr>
          <w:p w14:paraId="5797AE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rPr>
              <w:t>优抚对象生活情况</w:t>
            </w:r>
            <w:r>
              <w:rPr>
                <w:rFonts w:hint="eastAsia" w:ascii="Times New Roman" w:hAnsi="Times New Roman" w:eastAsia="方正仿宋_GBK" w:cs="Times New Roman"/>
                <w:kern w:val="0"/>
                <w:sz w:val="24"/>
                <w:szCs w:val="24"/>
                <w:lang w:val="en-US" w:eastAsia="zh-CN"/>
              </w:rPr>
              <w:t xml:space="preserve">      </w:t>
            </w:r>
          </w:p>
        </w:tc>
        <w:tc>
          <w:tcPr>
            <w:tcW w:w="2030" w:type="dxa"/>
            <w:tcBorders>
              <w:top w:val="single" w:color="auto" w:sz="4" w:space="0"/>
              <w:left w:val="nil"/>
              <w:bottom w:val="single" w:color="auto" w:sz="4" w:space="0"/>
              <w:right w:val="single" w:color="auto" w:sz="4" w:space="0"/>
            </w:tcBorders>
            <w:noWrap w:val="0"/>
            <w:vAlign w:val="center"/>
          </w:tcPr>
          <w:p w14:paraId="592D7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有效改善</w:t>
            </w:r>
          </w:p>
        </w:tc>
      </w:tr>
      <w:tr w14:paraId="7D5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0" w:type="dxa"/>
            <w:vMerge w:val="continue"/>
            <w:tcBorders>
              <w:top w:val="nil"/>
              <w:left w:val="single" w:color="auto" w:sz="4" w:space="0"/>
              <w:bottom w:val="single" w:color="auto" w:sz="4" w:space="0"/>
              <w:right w:val="single" w:color="auto" w:sz="4" w:space="0"/>
            </w:tcBorders>
            <w:noWrap w:val="0"/>
            <w:vAlign w:val="center"/>
          </w:tcPr>
          <w:p w14:paraId="154A39D7">
            <w:pPr>
              <w:widowControl/>
              <w:jc w:val="left"/>
              <w:rPr>
                <w:rFonts w:hint="default" w:ascii="Times New Roman" w:hAnsi="Times New Roman" w:eastAsia="方正仿宋_GBK" w:cs="Times New Roman"/>
                <w:kern w:val="2"/>
                <w:sz w:val="21"/>
              </w:rPr>
            </w:pPr>
          </w:p>
        </w:tc>
        <w:tc>
          <w:tcPr>
            <w:tcW w:w="1440" w:type="dxa"/>
            <w:tcBorders>
              <w:top w:val="single" w:color="auto" w:sz="4" w:space="0"/>
              <w:left w:val="nil"/>
              <w:bottom w:val="single" w:color="auto" w:sz="4" w:space="0"/>
              <w:right w:val="single" w:color="auto" w:sz="4" w:space="0"/>
            </w:tcBorders>
            <w:noWrap w:val="0"/>
            <w:vAlign w:val="center"/>
          </w:tcPr>
          <w:p w14:paraId="191754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1750" w:type="dxa"/>
            <w:tcBorders>
              <w:top w:val="single" w:color="auto" w:sz="4" w:space="0"/>
              <w:left w:val="nil"/>
              <w:bottom w:val="single" w:color="auto" w:sz="4" w:space="0"/>
              <w:right w:val="single" w:color="auto" w:sz="4" w:space="0"/>
            </w:tcBorders>
            <w:noWrap w:val="0"/>
            <w:vAlign w:val="center"/>
          </w:tcPr>
          <w:p w14:paraId="18087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服务对象</w:t>
            </w:r>
          </w:p>
          <w:p w14:paraId="2A8B47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4174" w:type="dxa"/>
            <w:tcBorders>
              <w:top w:val="single" w:color="auto" w:sz="4" w:space="0"/>
              <w:left w:val="nil"/>
              <w:bottom w:val="single" w:color="auto" w:sz="4" w:space="0"/>
              <w:right w:val="single" w:color="auto" w:sz="4" w:space="0"/>
            </w:tcBorders>
            <w:noWrap w:val="0"/>
            <w:vAlign w:val="center"/>
          </w:tcPr>
          <w:p w14:paraId="786D4B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优抚对象满意</w:t>
            </w:r>
            <w:r>
              <w:rPr>
                <w:rFonts w:hint="eastAsia" w:ascii="Times New Roman" w:hAnsi="Times New Roman" w:eastAsia="方正仿宋_GBK" w:cs="Times New Roman"/>
                <w:kern w:val="0"/>
                <w:sz w:val="24"/>
                <w:szCs w:val="24"/>
                <w:lang w:eastAsia="zh-CN"/>
              </w:rPr>
              <w:t>率</w:t>
            </w:r>
            <w:r>
              <w:rPr>
                <w:rFonts w:hint="default" w:ascii="Times New Roman" w:hAnsi="Times New Roman" w:eastAsia="方正仿宋_GBK" w:cs="Times New Roman"/>
                <w:kern w:val="0"/>
                <w:sz w:val="24"/>
                <w:szCs w:val="24"/>
              </w:rPr>
              <w:t>度</w:t>
            </w:r>
          </w:p>
        </w:tc>
        <w:tc>
          <w:tcPr>
            <w:tcW w:w="2030" w:type="dxa"/>
            <w:tcBorders>
              <w:top w:val="single" w:color="auto" w:sz="4" w:space="0"/>
              <w:left w:val="nil"/>
              <w:bottom w:val="single" w:color="auto" w:sz="4" w:space="0"/>
              <w:right w:val="single" w:color="auto" w:sz="4" w:space="0"/>
            </w:tcBorders>
            <w:noWrap w:val="0"/>
            <w:vAlign w:val="center"/>
          </w:tcPr>
          <w:p w14:paraId="7016F1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eastAsia" w:ascii="东文宋体" w:hAnsi="东文宋体" w:eastAsia="东文宋体" w:cs="东文宋体"/>
                <w:kern w:val="0"/>
                <w:sz w:val="24"/>
                <w:szCs w:val="24"/>
                <w:lang w:val="en-US" w:eastAsia="zh-CN"/>
              </w:rPr>
              <w:t>≥</w:t>
            </w:r>
            <w:r>
              <w:rPr>
                <w:rFonts w:hint="default" w:ascii="Times New Roman" w:hAnsi="Times New Roman" w:eastAsia="方正仿宋_GBK" w:cs="Times New Roman"/>
                <w:kern w:val="0"/>
                <w:sz w:val="24"/>
                <w:szCs w:val="24"/>
                <w:lang w:val="en-US" w:eastAsia="zh-CN"/>
              </w:rPr>
              <w:t>90</w:t>
            </w:r>
            <w:r>
              <w:rPr>
                <w:rFonts w:hint="default" w:ascii="Times New Roman" w:hAnsi="Times New Roman" w:eastAsia="方正仿宋_GBK" w:cs="Times New Roman"/>
                <w:kern w:val="0"/>
                <w:sz w:val="24"/>
                <w:szCs w:val="24"/>
              </w:rPr>
              <w:t>%</w:t>
            </w:r>
          </w:p>
        </w:tc>
      </w:tr>
    </w:tbl>
    <w:p w14:paraId="56916435">
      <w:pPr>
        <w:rPr>
          <w:rFonts w:hint="default" w:ascii="Times New Roman" w:hAnsi="Times New Roman" w:eastAsia="仿宋_GB2312" w:cs="Times New Roman"/>
          <w:b/>
          <w:color w:val="auto"/>
          <w:sz w:val="32"/>
        </w:rPr>
      </w:pPr>
    </w:p>
    <w:p w14:paraId="581A343A">
      <w:pPr>
        <w:tabs>
          <w:tab w:val="left" w:pos="1188"/>
        </w:tabs>
        <w:spacing w:line="360" w:lineRule="auto"/>
        <w:ind w:firstLine="280" w:firstLineChars="100"/>
        <w:rPr>
          <w:rFonts w:hint="eastAsia" w:ascii="Times New Roman" w:hAnsi="Times New Roman" w:eastAsia="方正仿宋_GBK" w:cs="Times New Roman"/>
          <w:color w:val="FF0000"/>
          <w:sz w:val="28"/>
          <w:szCs w:val="28"/>
          <w:lang w:eastAsia="zh-CN"/>
        </w:rPr>
      </w:pPr>
    </w:p>
    <w:p w14:paraId="2DAA2BD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4" w:type="default"/>
      <w:footerReference r:id="rId5" w:type="even"/>
      <w:pgSz w:w="11906" w:h="16838"/>
      <w:pgMar w:top="2098" w:right="1474" w:bottom="1984" w:left="1587" w:header="1418" w:footer="1134" w:gutter="0"/>
      <w:pgNumType w:fmt="decimal"/>
      <w:cols w:space="720" w:num="1"/>
      <w:docGrid w:linePitch="574"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0F1D">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B7B1">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BFB7B1">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BCE6F">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59765" cy="304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59765" cy="304800"/>
                      </a:xfrm>
                      <a:prstGeom prst="rect">
                        <a:avLst/>
                      </a:prstGeom>
                      <a:noFill/>
                      <a:ln>
                        <a:noFill/>
                      </a:ln>
                    </wps:spPr>
                    <wps:txbx>
                      <w:txbxContent>
                        <w:p w14:paraId="1CF3FF3F">
                          <w:pPr>
                            <w:pStyle w:val="3"/>
                            <w:rPr>
                              <w:rFonts w:hint="eastAsia" w:eastAsia="宋体"/>
                              <w:sz w:val="32"/>
                              <w:szCs w:val="32"/>
                              <w:lang w:eastAsia="zh-CN"/>
                            </w:rPr>
                          </w:pPr>
                          <w:r>
                            <w:rPr>
                              <w:rFonts w:hint="eastAsia"/>
                              <w:sz w:val="32"/>
                              <w:szCs w:val="32"/>
                              <w:lang w:eastAsia="zh-CN"/>
                            </w:rPr>
                            <w:t>—</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6</w:t>
                          </w:r>
                          <w:r>
                            <w:rPr>
                              <w:rFonts w:hint="eastAsia"/>
                              <w:sz w:val="32"/>
                              <w:szCs w:val="32"/>
                              <w:lang w:eastAsia="zh-CN"/>
                            </w:rPr>
                            <w:fldChar w:fldCharType="end"/>
                          </w:r>
                          <w:r>
                            <w:rPr>
                              <w:rFonts w:hint="eastAsia"/>
                              <w:sz w:val="32"/>
                              <w:szCs w:val="32"/>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4pt;width:51.95pt;mso-position-horizontal:outside;mso-position-horizontal-relative:margin;z-index:251661312;mso-width-relative:page;mso-height-relative:page;" filled="f" stroked="f" coordsize="21600,21600" o:gfxdata="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EIR31AAAAAQBAAAPAAAAAAAAAAEAIAAAACIAAABkcnMvZG93bnJldi54bWxQSwECFAAU&#10;AAAACACHTuJAdCLD9LwBAABxAwAADgAAAAAAAAABACAAAAAjAQAAZHJzL2Uyb0RvYy54bWxQSwUG&#10;AAAAAAYABgBZAQAAUQUAAAAA&#10;">
              <v:fill on="f" focussize="0,0"/>
              <v:stroke on="f"/>
              <v:imagedata o:title=""/>
              <o:lock v:ext="edit" aspectratio="f"/>
              <v:textbox inset="0mm,0mm,0mm,0mm">
                <w:txbxContent>
                  <w:p w14:paraId="1CF3FF3F">
                    <w:pPr>
                      <w:pStyle w:val="3"/>
                      <w:rPr>
                        <w:rFonts w:hint="eastAsia" w:eastAsia="宋体"/>
                        <w:sz w:val="32"/>
                        <w:szCs w:val="32"/>
                        <w:lang w:eastAsia="zh-CN"/>
                      </w:rPr>
                    </w:pPr>
                    <w:r>
                      <w:rPr>
                        <w:rFonts w:hint="eastAsia"/>
                        <w:sz w:val="32"/>
                        <w:szCs w:val="32"/>
                        <w:lang w:eastAsia="zh-CN"/>
                      </w:rPr>
                      <w:t>—</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6</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3595">
    <w:pPr>
      <w:pStyle w:val="3"/>
      <w:framePr w:wrap="around" w:vAnchor="text" w:hAnchor="margin" w:xAlign="outside" w:y="1"/>
      <w:ind w:firstLine="280" w:firstLine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14:paraId="28450E53">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 w:name="DocumentID" w:val="{13042BDA-B7B6-4CBF-A239-7E3ED1DE64C9}"/>
    <w:docVar w:name="DocumentName" w:val="梁财社〔2023〕163号关于下达2023年中央优抚对象经费预算（第三批）的通知01 中央直达资金"/>
  </w:docVars>
  <w:rsids>
    <w:rsidRoot w:val="00000000"/>
    <w:rsid w:val="00830B3A"/>
    <w:rsid w:val="038D368F"/>
    <w:rsid w:val="05D94B5D"/>
    <w:rsid w:val="05DC6CD2"/>
    <w:rsid w:val="06007873"/>
    <w:rsid w:val="0786416F"/>
    <w:rsid w:val="09745825"/>
    <w:rsid w:val="09E911F1"/>
    <w:rsid w:val="0AE5706E"/>
    <w:rsid w:val="0B0A6A71"/>
    <w:rsid w:val="0B3F144C"/>
    <w:rsid w:val="0C83624D"/>
    <w:rsid w:val="0D3F0EEB"/>
    <w:rsid w:val="0DBC559A"/>
    <w:rsid w:val="0E2142A1"/>
    <w:rsid w:val="0E834B5A"/>
    <w:rsid w:val="0EE61AFB"/>
    <w:rsid w:val="0FCB1CE9"/>
    <w:rsid w:val="102F7315"/>
    <w:rsid w:val="1091445F"/>
    <w:rsid w:val="11FC7480"/>
    <w:rsid w:val="12B67DF9"/>
    <w:rsid w:val="133144D7"/>
    <w:rsid w:val="13A6267C"/>
    <w:rsid w:val="13AB201A"/>
    <w:rsid w:val="14272167"/>
    <w:rsid w:val="148005FB"/>
    <w:rsid w:val="157818E8"/>
    <w:rsid w:val="161B1B31"/>
    <w:rsid w:val="17E03683"/>
    <w:rsid w:val="18763BA5"/>
    <w:rsid w:val="19B16135"/>
    <w:rsid w:val="19CF3670"/>
    <w:rsid w:val="1A1E05BA"/>
    <w:rsid w:val="1A7D6D85"/>
    <w:rsid w:val="1B9D1623"/>
    <w:rsid w:val="1C172982"/>
    <w:rsid w:val="1D815751"/>
    <w:rsid w:val="1DD646B6"/>
    <w:rsid w:val="1DEA7DC2"/>
    <w:rsid w:val="1E410309"/>
    <w:rsid w:val="1EA0242D"/>
    <w:rsid w:val="1EF15C06"/>
    <w:rsid w:val="1FC666FD"/>
    <w:rsid w:val="2108113C"/>
    <w:rsid w:val="227A5B2F"/>
    <w:rsid w:val="23494274"/>
    <w:rsid w:val="240B4A1B"/>
    <w:rsid w:val="242117CE"/>
    <w:rsid w:val="249B10F2"/>
    <w:rsid w:val="25766390"/>
    <w:rsid w:val="25826657"/>
    <w:rsid w:val="27327F13"/>
    <w:rsid w:val="279D33AE"/>
    <w:rsid w:val="27AC3A14"/>
    <w:rsid w:val="283B2521"/>
    <w:rsid w:val="28AC1ED8"/>
    <w:rsid w:val="2B4D5322"/>
    <w:rsid w:val="2C213B0E"/>
    <w:rsid w:val="2D933C74"/>
    <w:rsid w:val="2DF57B45"/>
    <w:rsid w:val="2EF40C14"/>
    <w:rsid w:val="2F10570F"/>
    <w:rsid w:val="2F2819F8"/>
    <w:rsid w:val="317967B1"/>
    <w:rsid w:val="31C02F48"/>
    <w:rsid w:val="320B6520"/>
    <w:rsid w:val="32572CB0"/>
    <w:rsid w:val="32CB2F7B"/>
    <w:rsid w:val="33502946"/>
    <w:rsid w:val="34E51D3A"/>
    <w:rsid w:val="370957CB"/>
    <w:rsid w:val="3782629D"/>
    <w:rsid w:val="380657E0"/>
    <w:rsid w:val="3A1145AF"/>
    <w:rsid w:val="3D1E75A7"/>
    <w:rsid w:val="3F6049B7"/>
    <w:rsid w:val="3FB13205"/>
    <w:rsid w:val="4063330C"/>
    <w:rsid w:val="40C50F64"/>
    <w:rsid w:val="412358BA"/>
    <w:rsid w:val="42253A94"/>
    <w:rsid w:val="422B0AC7"/>
    <w:rsid w:val="43FA3136"/>
    <w:rsid w:val="44D7423A"/>
    <w:rsid w:val="46AF3BC9"/>
    <w:rsid w:val="47CC6BDA"/>
    <w:rsid w:val="49BF0020"/>
    <w:rsid w:val="4A14515D"/>
    <w:rsid w:val="4B6D20A7"/>
    <w:rsid w:val="4BE27134"/>
    <w:rsid w:val="4CF1183F"/>
    <w:rsid w:val="4D77008C"/>
    <w:rsid w:val="4D903DD3"/>
    <w:rsid w:val="4DE64F85"/>
    <w:rsid w:val="4E8C28E4"/>
    <w:rsid w:val="4EB95706"/>
    <w:rsid w:val="4F0E1D90"/>
    <w:rsid w:val="4FC41F46"/>
    <w:rsid w:val="505209FD"/>
    <w:rsid w:val="53B22AA1"/>
    <w:rsid w:val="54FE12AD"/>
    <w:rsid w:val="55BE3C17"/>
    <w:rsid w:val="5620087B"/>
    <w:rsid w:val="5A333888"/>
    <w:rsid w:val="5B2F6498"/>
    <w:rsid w:val="5B716388"/>
    <w:rsid w:val="5C226281"/>
    <w:rsid w:val="5C275BC3"/>
    <w:rsid w:val="5D625B32"/>
    <w:rsid w:val="5ED66A25"/>
    <w:rsid w:val="61353447"/>
    <w:rsid w:val="62FB3F34"/>
    <w:rsid w:val="63976673"/>
    <w:rsid w:val="6633285F"/>
    <w:rsid w:val="6A855C4B"/>
    <w:rsid w:val="6ADD475E"/>
    <w:rsid w:val="6BA3180E"/>
    <w:rsid w:val="6BDF40EE"/>
    <w:rsid w:val="6E0C4A49"/>
    <w:rsid w:val="6E175BAB"/>
    <w:rsid w:val="6F3C324C"/>
    <w:rsid w:val="6F94186C"/>
    <w:rsid w:val="70220602"/>
    <w:rsid w:val="719515F5"/>
    <w:rsid w:val="73066F61"/>
    <w:rsid w:val="73262C99"/>
    <w:rsid w:val="73663EDE"/>
    <w:rsid w:val="73C2712E"/>
    <w:rsid w:val="746E6132"/>
    <w:rsid w:val="75277D66"/>
    <w:rsid w:val="75DB3A11"/>
    <w:rsid w:val="76460B34"/>
    <w:rsid w:val="76514837"/>
    <w:rsid w:val="76B8261D"/>
    <w:rsid w:val="78117866"/>
    <w:rsid w:val="78451356"/>
    <w:rsid w:val="78A94A62"/>
    <w:rsid w:val="7B287646"/>
    <w:rsid w:val="7BA30EF9"/>
    <w:rsid w:val="7C6061A4"/>
    <w:rsid w:val="7CF81C30"/>
    <w:rsid w:val="7DB83FEE"/>
    <w:rsid w:val="7EC17EF9"/>
    <w:rsid w:val="7ECD794D"/>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character" w:customStyle="1" w:styleId="9">
    <w:name w:val="font21"/>
    <w:basedOn w:val="7"/>
    <w:qFormat/>
    <w:uiPriority w:val="0"/>
    <w:rPr>
      <w:rFonts w:hint="eastAsia" w:ascii="宋体" w:hAnsi="宋体" w:eastAsia="宋体" w:cs="宋体"/>
      <w:color w:val="000000"/>
      <w:sz w:val="18"/>
      <w:szCs w:val="18"/>
      <w:u w:val="none"/>
    </w:rPr>
  </w:style>
  <w:style w:type="character" w:customStyle="1" w:styleId="10">
    <w:name w:val="font3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b/>
      <w:color w:val="000000"/>
      <w:sz w:val="20"/>
      <w:szCs w:val="20"/>
      <w:u w:val="none"/>
    </w:rPr>
  </w:style>
  <w:style w:type="character" w:customStyle="1" w:styleId="12">
    <w:name w:val="font41"/>
    <w:basedOn w:val="7"/>
    <w:qFormat/>
    <w:uiPriority w:val="0"/>
    <w:rPr>
      <w:rFonts w:hint="default" w:ascii="Times New Roman" w:hAnsi="Times New Roman" w:eastAsia="宋体" w:cs="Times New Roman"/>
      <w:color w:val="000000"/>
      <w:sz w:val="22"/>
      <w:szCs w:val="22"/>
      <w:u w:val="none"/>
    </w:rPr>
  </w:style>
  <w:style w:type="character" w:customStyle="1" w:styleId="13">
    <w:name w:val="font71"/>
    <w:basedOn w:val="7"/>
    <w:qFormat/>
    <w:uiPriority w:val="0"/>
    <w:rPr>
      <w:rFonts w:hint="eastAsia" w:ascii="宋体" w:hAnsi="宋体" w:eastAsia="宋体" w:cs="宋体"/>
      <w:color w:val="000000"/>
      <w:sz w:val="28"/>
      <w:szCs w:val="28"/>
      <w:u w:val="none"/>
    </w:rPr>
  </w:style>
  <w:style w:type="character" w:customStyle="1" w:styleId="14">
    <w:name w:val="font11"/>
    <w:basedOn w:val="7"/>
    <w:qFormat/>
    <w:uiPriority w:val="0"/>
    <w:rPr>
      <w:rFonts w:hint="default" w:ascii="仿宋_GB2312" w:eastAsia="仿宋_GB2312" w:cs="仿宋_GB2312"/>
      <w:color w:val="000000"/>
      <w:sz w:val="30"/>
      <w:szCs w:val="30"/>
      <w:u w:val="none"/>
    </w:rPr>
  </w:style>
  <w:style w:type="paragraph" w:customStyle="1" w:styleId="15">
    <w:name w:val="图表目录1"/>
    <w:basedOn w:val="16"/>
    <w:next w:val="1"/>
    <w:qFormat/>
    <w:uiPriority w:val="0"/>
    <w:pPr>
      <w:ind w:left="200" w:leftChars="200" w:hanging="200" w:hangingChars="200"/>
    </w:pPr>
    <w:rPr>
      <w:rFonts w:ascii="Calibri" w:hAnsi="Calibri"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1553</Words>
  <Characters>1685</Characters>
  <Lines>0</Lines>
  <Paragraphs>0</Paragraphs>
  <TotalTime>1</TotalTime>
  <ScaleCrop>false</ScaleCrop>
  <LinksUpToDate>false</LinksUpToDate>
  <CharactersWithSpaces>1741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2023-12-19T03:34:00Z</cp:lastPrinted>
  <dcterms:modified xsi:type="dcterms:W3CDTF">2024-11-18T08:12:09Z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BE3FDFB50FEB42888B43896E6E9EEC9D</vt:lpwstr>
  </property>
</Properties>
</file>