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梁财社</w:t>
      </w:r>
      <w:r>
        <w:rPr>
          <w:rFonts w:ascii="仿宋_GB2312" w:hAnsi="仿宋_GB2312"/>
          <w:sz w:val="32"/>
          <w:szCs w:val="32"/>
        </w:rPr>
        <w:t>〔</w:t>
      </w:r>
      <w:r>
        <w:rPr>
          <w:rFonts w:ascii="仿宋_GB2312"/>
          <w:sz w:val="32"/>
          <w:szCs w:val="32"/>
        </w:rPr>
        <w:t>2019</w:t>
      </w:r>
      <w:r>
        <w:rPr>
          <w:rFonts w:ascii="仿宋_GB2312" w:hAnsi="仿宋_GB2312"/>
          <w:sz w:val="32"/>
          <w:szCs w:val="32"/>
        </w:rPr>
        <w:t>〕</w:t>
      </w:r>
      <w:r>
        <w:rPr>
          <w:rFonts w:ascii="仿宋_GB2312"/>
          <w:sz w:val="32"/>
          <w:szCs w:val="32"/>
        </w:rPr>
        <w:t>106号</w:t>
      </w:r>
    </w:p>
    <w:p>
      <w:pPr>
        <w:pStyle w:val="9"/>
        <w:jc w:val="center"/>
        <w:rPr>
          <w:rFonts w:ascii="仿宋_GB2312"/>
          <w:sz w:val="32"/>
          <w:szCs w:val="32"/>
        </w:rPr>
      </w:pPr>
    </w:p>
    <w:p>
      <w:pPr>
        <w:pStyle w:val="9"/>
        <w:jc w:val="center"/>
      </w:pPr>
    </w:p>
    <w:p>
      <w:pPr>
        <w:pStyle w:val="9"/>
        <w:spacing w:line="50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梁河县财政局关于提前下达2019年城乡居民基本养老保险第二批省级一般性转移支付</w:t>
      </w:r>
    </w:p>
    <w:p>
      <w:pPr>
        <w:pStyle w:val="9"/>
        <w:spacing w:line="50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补助资金的通知</w:t>
      </w:r>
    </w:p>
    <w:p>
      <w:pPr>
        <w:pStyle w:val="9"/>
        <w:spacing w:line="500" w:lineRule="exact"/>
        <w:rPr>
          <w:sz w:val="32"/>
          <w:szCs w:val="32"/>
        </w:rPr>
      </w:pPr>
    </w:p>
    <w:p>
      <w:pPr>
        <w:pStyle w:val="9"/>
        <w:pageBreakBefore w:val="0"/>
        <w:spacing w:line="240" w:lineRule="auto"/>
        <w:ind w:left="0" w:righ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梁河县人社局：</w:t>
      </w:r>
    </w:p>
    <w:p>
      <w:pPr>
        <w:pStyle w:val="9"/>
        <w:pageBreakBefore w:val="0"/>
        <w:spacing w:line="240" w:lineRule="auto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根据《德宏州财政局德宏州人力资源和社会保障局关于下达2019年城乡居民基本养老保险第二批省级一般性转移支付资金的通知》（德财社〔2019〕73号）文件精神，</w:t>
      </w:r>
      <w:r>
        <w:rPr>
          <w:rFonts w:ascii="Times New Roman" w:hAnsi="Times New Roman"/>
          <w:color w:val="000000"/>
          <w:sz w:val="32"/>
          <w:szCs w:val="32"/>
        </w:rPr>
        <w:t>现下达2019年城乡居民基本养老保险第二批省级一般性转移支付资金496</w:t>
      </w:r>
      <w:r>
        <w:rPr>
          <w:rFonts w:ascii="Times New Roman" w:hAnsi="Times New Roman"/>
          <w:sz w:val="32"/>
          <w:szCs w:val="32"/>
        </w:rPr>
        <w:t>万元，此款收入列入2019年、“1100222—基本养老金转移支付收入，”科目，支出列入“2082602—财政对城乡居民基本养老保险基金的补助”科目。政府经济分类科目和部门经济分类科目请按照实际下达指标列支。</w:t>
      </w:r>
    </w:p>
    <w:p>
      <w:pPr>
        <w:pStyle w:val="9"/>
        <w:pageBreakBefore w:val="0"/>
        <w:spacing w:line="240" w:lineRule="auto"/>
        <w:ind w:left="0" w:right="0" w:firstLine="640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同时将上级“财政资金绩效目标表”转发给你们，请根据上级“资金绩效目标表”和本项目资金使用规定结合项目实施实际，认真填制《申请拨付预算资金支出经济分类明细表》、《财政资金绩效目标表》，并于</w:t>
      </w:r>
      <w:r>
        <w:rPr>
          <w:rFonts w:ascii="Times New Roman" w:hAnsi="Times New Roman"/>
          <w:sz w:val="32"/>
          <w:szCs w:val="32"/>
        </w:rPr>
        <w:t>收到指标后5个工作日内提交到县财政局行财股。行财股收到</w:t>
      </w:r>
      <w:r>
        <w:rPr>
          <w:rFonts w:ascii="Times New Roman" w:hAnsi="Times New Roman"/>
          <w:color w:val="000000"/>
          <w:sz w:val="32"/>
          <w:szCs w:val="32"/>
        </w:rPr>
        <w:t>《申请拨付预算资金支出经济分类明细表》、《财政资金绩效目标表》才实际下达资金指标。</w:t>
      </w:r>
    </w:p>
    <w:p>
      <w:pPr>
        <w:pStyle w:val="9"/>
        <w:pageBreakBefore w:val="0"/>
        <w:spacing w:line="240" w:lineRule="auto"/>
        <w:ind w:left="0" w:right="0" w:firstLine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240" w:lineRule="auto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请专款专用，加强对资金使用的监督与管理，切实发挥资金使用效益。</w:t>
      </w:r>
    </w:p>
    <w:p>
      <w:pPr>
        <w:pStyle w:val="9"/>
        <w:spacing w:line="500" w:lineRule="exact"/>
        <w:ind w:firstLine="6726"/>
        <w:jc w:val="left"/>
        <w:rPr>
          <w:rFonts w:ascii="Times New Roman" w:hAnsi="Times New Roman"/>
          <w:sz w:val="32"/>
          <w:szCs w:val="32"/>
        </w:rPr>
      </w:pPr>
    </w:p>
    <w:p>
      <w:pPr>
        <w:pStyle w:val="9"/>
        <w:spacing w:line="500" w:lineRule="exact"/>
        <w:ind w:firstLine="6726"/>
        <w:jc w:val="left"/>
        <w:rPr>
          <w:rFonts w:ascii="Times New Roman" w:hAnsi="Times New Roman"/>
          <w:sz w:val="32"/>
          <w:szCs w:val="32"/>
        </w:rPr>
      </w:pPr>
    </w:p>
    <w:p>
      <w:pPr>
        <w:pStyle w:val="9"/>
        <w:spacing w:line="500" w:lineRule="exact"/>
        <w:ind w:firstLine="6726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梁河县财政局</w:t>
      </w:r>
    </w:p>
    <w:p>
      <w:pPr>
        <w:pStyle w:val="9"/>
        <w:spacing w:line="500" w:lineRule="exact"/>
        <w:ind w:firstLine="624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2019年5月31日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531" w:left="1531" w:header="720" w:footer="720" w:gutter="0"/>
      <w:pgNumType w:fmt="arabicAlph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2750E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2"/>
    <w:qFormat/>
    <w:uiPriority w:val="0"/>
    <w:pPr>
      <w:jc w:val="both"/>
    </w:pPr>
    <w:rPr>
      <w:rFonts w:ascii="Times New Roman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码1"/>
    <w:link w:val="9"/>
    <w:qFormat/>
    <w:uiPriority w:val="0"/>
  </w:style>
  <w:style w:type="paragraph" w:customStyle="1" w:styleId="13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4">
    <w:name w:val="日期1"/>
    <w:qFormat/>
    <w:uiPriority w:val="0"/>
    <w:pPr>
      <w:ind w:left="100"/>
    </w:pPr>
    <w:rPr>
      <w:rFonts w:ascii="Times New Roman"/>
    </w:rPr>
  </w:style>
  <w:style w:type="paragraph" w:customStyle="1" w:styleId="15">
    <w:name w:val="文档结构图1"/>
    <w:qFormat/>
    <w:uiPriority w:val="0"/>
    <w:pPr>
      <w:shd w:val="clear" w:fill="000080"/>
    </w:pPr>
    <w:rPr>
      <w:rFonts w:ascii="Times New Roman"/>
    </w:rPr>
  </w:style>
  <w:style w:type="table" w:customStyle="1" w:styleId="16">
    <w:name w:val="网格型1"/>
    <w:qFormat/>
    <w:uiPriority w:val="0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2025-08-05T02:30:27Z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