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梁财社</w:t>
      </w:r>
      <w:r>
        <w:rPr>
          <w:rFonts w:ascii="仿宋_GB2312" w:hAnsi="仿宋_GB2312"/>
          <w:sz w:val="32"/>
          <w:szCs w:val="32"/>
        </w:rPr>
        <w:t>〔</w:t>
      </w:r>
      <w:r>
        <w:rPr>
          <w:rFonts w:ascii="仿宋_GB2312"/>
          <w:sz w:val="32"/>
          <w:szCs w:val="32"/>
        </w:rPr>
        <w:t>2019</w:t>
      </w:r>
      <w:r>
        <w:rPr>
          <w:rFonts w:ascii="仿宋_GB2312" w:hAnsi="仿宋_GB2312"/>
          <w:sz w:val="32"/>
          <w:szCs w:val="32"/>
        </w:rPr>
        <w:t>〕</w:t>
      </w:r>
      <w:r>
        <w:rPr>
          <w:rFonts w:ascii="仿宋_GB2312"/>
          <w:sz w:val="32"/>
          <w:szCs w:val="32"/>
        </w:rPr>
        <w:t>85号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5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梁河县财政局关于提前下达2019年中央财政城乡居民基本养老保险一般性转移支付</w:t>
      </w:r>
    </w:p>
    <w:p>
      <w:pPr>
        <w:pStyle w:val="9"/>
        <w:spacing w:line="5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补助资金的通知</w:t>
      </w:r>
    </w:p>
    <w:p>
      <w:pPr>
        <w:pStyle w:val="9"/>
        <w:spacing w:line="500" w:lineRule="exact"/>
        <w:rPr>
          <w:rFonts w:ascii="方正小标宋简体" w:hAnsi="方正小标宋简体"/>
          <w:sz w:val="44"/>
          <w:szCs w:val="44"/>
        </w:rPr>
      </w:pPr>
    </w:p>
    <w:p>
      <w:pPr>
        <w:pStyle w:val="9"/>
        <w:spacing w:line="500" w:lineRule="exact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梁河县人社局：</w:t>
      </w:r>
    </w:p>
    <w:p>
      <w:pPr>
        <w:pStyle w:val="9"/>
        <w:spacing w:line="500" w:lineRule="exact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根据《德宏州财政局德宏州人力资源和社会保障局关于提前下达2019年中央财政城乡居民基本养老保险一般性转移支付补助资金的通知》（德财社[2019]29号）文件精神，</w:t>
      </w:r>
      <w:r>
        <w:rPr>
          <w:rFonts w:ascii="Times New Roman" w:hAnsi="Times New Roman"/>
          <w:color w:val="000000"/>
          <w:sz w:val="32"/>
          <w:szCs w:val="32"/>
        </w:rPr>
        <w:t>现下达</w:t>
      </w:r>
      <w:r>
        <w:rPr>
          <w:rFonts w:ascii="Times New Roman" w:hAnsi="Times New Roman"/>
          <w:sz w:val="32"/>
          <w:szCs w:val="32"/>
        </w:rPr>
        <w:t>2019年中央财政城乡居民基本养老保险一般性转移支付资金1918万元，此款收入列入2019年、“1100222—基本养老金转移支付收入，”科目，支出列入“2082602—财政对城乡居民基本养老保险基金的补助”科目。政府经济分类科目“51301—上下级政府间转移性支出”。</w:t>
      </w:r>
    </w:p>
    <w:p>
      <w:pPr>
        <w:pStyle w:val="9"/>
        <w:spacing w:line="500" w:lineRule="exact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请专款专用，加强对资金使用的监督与管理，切实发挥资金使用效益。</w:t>
      </w:r>
    </w:p>
    <w:p>
      <w:pPr>
        <w:pStyle w:val="9"/>
        <w:spacing w:line="500" w:lineRule="exact"/>
        <w:ind w:firstLine="672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梁河县财政局</w:t>
      </w:r>
    </w:p>
    <w:p>
      <w:pPr>
        <w:pStyle w:val="9"/>
        <w:spacing w:line="500" w:lineRule="exact"/>
        <w:ind w:firstLine="624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2019年3月11日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531" w:left="1531" w:header="720" w:footer="720" w:gutter="0"/>
      <w:pgNumType w:fmt="arabicAlph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8A210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2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paragraph" w:customStyle="1" w:styleId="13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4">
    <w:name w:val="日期1"/>
    <w:qFormat/>
    <w:uiPriority w:val="0"/>
    <w:pPr>
      <w:ind w:left="100"/>
    </w:pPr>
    <w:rPr>
      <w:rFonts w:ascii="Times New Roman"/>
    </w:rPr>
  </w:style>
  <w:style w:type="paragraph" w:customStyle="1" w:styleId="15">
    <w:name w:val="文档结构图1"/>
    <w:qFormat/>
    <w:uiPriority w:val="0"/>
    <w:pPr>
      <w:shd w:val="clear" w:fill="000080"/>
    </w:pPr>
    <w:rPr>
      <w:rFonts w:ascii="Times New Roman"/>
    </w:rPr>
  </w:style>
  <w:style w:type="table" w:customStyle="1" w:styleId="16">
    <w:name w:val="网格型1"/>
    <w:qFormat/>
    <w:uiPriority w:val="0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2025-08-05T02:35:30Z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