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E321">
      <w:pPr>
        <w:keepNext w:val="0"/>
        <w:keepLines w:val="0"/>
        <w:pageBreakBefore w:val="0"/>
        <w:kinsoku/>
        <w:wordWrap/>
        <w:overflowPunct/>
        <w:topLinePunct w:val="0"/>
        <w:bidi w:val="0"/>
        <w:adjustRightInd/>
        <w:rPr>
          <w:rFonts w:hint="eastAsia"/>
          <w:lang w:eastAsia="zh-CN"/>
        </w:rPr>
      </w:pPr>
      <w:bookmarkStart w:id="0" w:name="_GoBack"/>
      <w:bookmarkEnd w:id="0"/>
      <w:r>
        <w:rPr>
          <w:sz w:val="21"/>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C7ElXEfqMORiZJpTMxchvTN3RVR2jAvQ/qnB9blj/q4IEher4yC7J3+eC4VpubfFX8FkSnjLqTIRHRGFJ8jG427FsGG9/Nafrp3PdsFvQP1qTMLu2xzM/TM418v/i9IIS8tiC3iInaVuXrVGn+jwKaerUWpMXQO9oZzgQF145niElV7701QfFsu6WD6J8wktbKixZg1ufd8ehaPHd6r5zyR5WW4QFafnn3Bz/aFbQaz6pXYHwEJOYtWGRJmI7Q2wo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7ElXEfqMORiZJpTMxchvTN3RVR2jAvQ/qnB9blj/q4IEher4yC7J3+eC4VpubfFX8FkSnjLqTIRHRGFJ8jG427FsGG9/Nafrp3PdsFvQP1qTMLu2xzM/TM418v/i9IIS8tiC3iInaVuXrVGn+jwKaerUWpMXQO9oZzgQF145niElV7701QfFsu6WD6J8wktbKixZg1ufd8ehaPHd6r5zyR5WW4QFafnn3Bz/aFbQaz6pXYHwEJOYtWGRJmI7Q2wo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Ac/KX12gAAAA8BAAAPAAAAAAAAAAEAIAAAACIAAABkcnMvZG93&#10;bnJldi54bWxQSwECFAAUAAAACACHTuJARQCorI4FAADVCAAADgAAAAAAAAABACAAAAApAQAAZHJz&#10;L2Uyb0RvYy54bWxQSwUGAAAAAAYABgBZAQAAKQkAAAAA&#10;">
                <v:fill on="t" focussize="0,0"/>
                <v:stroke weight="1pt" color="#2E75B6 [2404]" miterlimit="8" joinstyle="miter"/>
                <v:imagedata o:title=""/>
                <o:lock v:ext="edit" aspectratio="f"/>
              </v:rect>
            </w:pict>
          </mc:Fallback>
        </mc:AlternateContent>
      </w:r>
    </w:p>
    <w:p w14:paraId="65DB26F2">
      <w:pPr>
        <w:keepNext w:val="0"/>
        <w:keepLines w:val="0"/>
        <w:pageBreakBefore w:val="0"/>
        <w:kinsoku/>
        <w:wordWrap/>
        <w:overflowPunct/>
        <w:topLinePunct w:val="0"/>
        <w:bidi w:val="0"/>
        <w:adjustRightInd/>
        <w:spacing w:line="530" w:lineRule="exact"/>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梁财社〔202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121</w:t>
      </w:r>
      <w:r>
        <w:rPr>
          <w:rFonts w:hint="default" w:ascii="Times New Roman" w:hAnsi="Times New Roman" w:eastAsia="方正仿宋_GBK" w:cs="Times New Roman"/>
          <w:sz w:val="32"/>
          <w:szCs w:val="32"/>
          <w:lang w:eastAsia="zh-CN"/>
        </w:rPr>
        <w:t>号</w:t>
      </w:r>
    </w:p>
    <w:p w14:paraId="3642BC01">
      <w:pPr>
        <w:jc w:val="both"/>
        <w:rPr>
          <w:rFonts w:hint="eastAsia" w:ascii="仿宋_GB2312" w:hAnsi="仿宋_GB2312" w:eastAsia="仿宋_GB2312" w:cs="仿宋_GB2312"/>
          <w:b/>
          <w:sz w:val="44"/>
          <w:szCs w:val="44"/>
          <w:lang w:val="en-US" w:eastAsia="zh-CN"/>
        </w:rPr>
      </w:pPr>
    </w:p>
    <w:p w14:paraId="2A879661">
      <w:pPr>
        <w:jc w:val="center"/>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梁河县财政局关于下达2022年中央</w:t>
      </w:r>
    </w:p>
    <w:p w14:paraId="7F46682A">
      <w:pPr>
        <w:jc w:val="center"/>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sz w:val="44"/>
          <w:szCs w:val="44"/>
          <w:lang w:val="en-US" w:eastAsia="zh-CN"/>
        </w:rPr>
        <w:t>农村危房改造补助资金的通知</w:t>
      </w:r>
    </w:p>
    <w:p w14:paraId="2DEF430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14:paraId="7509EF4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梁河县住房和城乡建设局：</w:t>
      </w:r>
    </w:p>
    <w:p w14:paraId="30BA8BA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为认真贯彻落实《中共中央 国务院关于实现巩固拓展脱贫攻坚成果同乡村振兴有效衔接的意见》精神，继续实施农村危房改造和地震高烈度设防地区农房抗震改造，逐步建立农村低收入人口住房安全保障长效机制，</w:t>
      </w: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eastAsia="zh-CN"/>
        </w:rPr>
        <w:t>德宏州财政局 德宏州住房和城乡建设局关于下达2022年中央农村危房改造补助资金的通知</w:t>
      </w:r>
      <w:r>
        <w:rPr>
          <w:rFonts w:hint="default" w:ascii="Times New Roman" w:hAnsi="Times New Roman" w:eastAsia="方正仿宋_GBK" w:cs="Times New Roman"/>
          <w:sz w:val="32"/>
          <w:szCs w:val="32"/>
          <w:lang w:val="en-US" w:eastAsia="zh-CN"/>
        </w:rPr>
        <w:t>》（德财社〔2022〕96号），</w:t>
      </w:r>
      <w:r>
        <w:rPr>
          <w:rFonts w:hint="default" w:ascii="Times New Roman" w:hAnsi="Times New Roman" w:eastAsia="方正仿宋_GBK" w:cs="Times New Roman"/>
          <w:sz w:val="32"/>
          <w:szCs w:val="32"/>
          <w:lang w:eastAsia="zh-CN"/>
        </w:rPr>
        <w:t>结合我县易返贫致贫户、低保户、分散供养特困人员、因病因灾意外事故等刚性支出较大或收入大幅缩减导致基本生活出现严重困难家庭等对象危房改造和农房抗震改造（以下统称“危房改造”）需求、财力情况、工作绩效、政策支持等因素，按照《德宏州住房和城乡建设局关于请给予拨付2022年中央农村危房改造补助资金的函》（德建函〔2022〕104号），现下达你县市2022年中央农村危房改造补助资金（具体金额详见附件）。现将有关事项通知如下：</w:t>
      </w:r>
    </w:p>
    <w:p w14:paraId="5638E7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2022年中央财政补助资金用于农村低收入群体等重点对象危房改造和农房抗震改造支出。该项资金收入列入 2022年政府收支分类科目“1100258住房保障共同财政事权转移支付收入”，支出列入“2210105农村危房改造”，</w:t>
      </w:r>
      <w:r>
        <w:rPr>
          <w:rFonts w:hint="default" w:ascii="Times New Roman" w:hAnsi="Times New Roman" w:eastAsia="方正仿宋_GBK" w:cs="Times New Roman"/>
          <w:sz w:val="32"/>
          <w:szCs w:val="32"/>
          <w:lang w:val="en-US" w:eastAsia="zh-CN"/>
        </w:rPr>
        <w:t>政府及部门支出经济分类科目，请根据该项目要求和实际情况按照《预算法》和财政资金相关管理规定列支。</w:t>
      </w:r>
    </w:p>
    <w:p w14:paraId="4F0ECA3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此次下达的补助资金列入直达资金管理，该项直达资金的标识为“01中央直达资金”，贯穿资金分配、拨付、使用等整个环节，且保持不变。</w:t>
      </w:r>
    </w:p>
    <w:p w14:paraId="46D282D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安排给脱贫县的资金，按照财政部等11个部委《关于继续支持脱贫县统筹整合使用财政涉农资金工作的通知》（财农〔2021〕22号）有关规定执行。</w:t>
      </w:r>
    </w:p>
    <w:p w14:paraId="5C201D7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请对农村脱贫户实施住房安全动态监测，发现住房安全问题要建立工作台帐、及时解决，符合条件的及时纳入危房改造范围，确保脱贫户住房安全应保尽保。要细化落实措施，对于符合条件对象的危房，做到及时发现、及时改造，实现农村低收入群体等重点对象住房安全有保障，科学合理设定补助标准，加强质量安全管理，因地制宜推广各类适宜农房技术方法和住房保障方式。实施危房改造应同步达到当地抗震设防标准。鼓励有条件的地区结合农村危房改造和抗震改造，同步实施农房节能改造，提高农房保温隔热性能，降低建筑能耗。</w:t>
      </w:r>
    </w:p>
    <w:p w14:paraId="31BE659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五、为进一步加强预算绩效管理，切实提高财政资金使用效益，按照《中共中央 国务院关于全面实施预算绩效管理的意见》要求，请在组织预算执行中对照区域绩效目标做好绩效监控，确保年度绩效目标如期实现。</w:t>
      </w:r>
    </w:p>
    <w:p w14:paraId="597E665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六、住房城乡建设部门要与县财政密切合作，按照《财政部 住房城乡建设部关于印发〈中央财政农村危房改造补助资金管理暂行办法〉的通知》（财社〔2022〕42号）等要求，加强对农村危房改造补助资金的使用管理，加快预算执行进度，提高资金使用效益，避免闲置浪费。</w:t>
      </w:r>
    </w:p>
    <w:p w14:paraId="405CDAA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七、请单位收到文件后，于3日内在预算管理一体化系统中挂接项目，完成挂接项目后请电话通知行财股（3019051）。如未按时限挂接项目导致资金无法正常使用，</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3"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Aj+7JZdw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2DM49oAAAAPAQAADwAAAAAAAAABACAAAAAiAAAA&#10;ZHJzL2Rvd25yZXYueG1sUEsBAhQAFAAAAAgAh07iQCP7sll3AgAAPAUAAA4AAAAAAAAAAQAgAAAA&#10;KQ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由各单位自行负责。</w:t>
      </w:r>
    </w:p>
    <w:p w14:paraId="2FF620E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sz w:val="32"/>
          <w:szCs w:val="32"/>
          <w:lang w:eastAsia="zh-CN"/>
        </w:rPr>
      </w:pPr>
    </w:p>
    <w:p w14:paraId="203C547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附件：1.2022年中央农村危房改造补助资金分配表</w:t>
      </w:r>
    </w:p>
    <w:p w14:paraId="0BB0AE91">
      <w:pPr>
        <w:ind w:firstLine="1600" w:firstLineChars="5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2.省级对地方转移支付区域绩效目标表</w:t>
      </w:r>
    </w:p>
    <w:p w14:paraId="0C909E23">
      <w:pPr>
        <w:jc w:val="both"/>
        <w:rPr>
          <w:rFonts w:hint="default" w:ascii="Times New Roman" w:hAnsi="Times New Roman" w:eastAsia="方正仿宋_GBK" w:cs="Times New Roman"/>
          <w:sz w:val="32"/>
          <w:szCs w:val="32"/>
          <w:lang w:val="en-US" w:eastAsia="zh-CN"/>
        </w:rPr>
      </w:pPr>
    </w:p>
    <w:p w14:paraId="7FCF5214">
      <w:pPr>
        <w:jc w:val="both"/>
        <w:rPr>
          <w:rFonts w:hint="default" w:ascii="Times New Roman" w:hAnsi="Times New Roman" w:eastAsia="方正仿宋_GBK" w:cs="Times New Roman"/>
          <w:sz w:val="32"/>
          <w:szCs w:val="32"/>
          <w:lang w:val="en-US" w:eastAsia="zh-CN"/>
        </w:rPr>
      </w:pPr>
    </w:p>
    <w:p w14:paraId="737189C5">
      <w:pPr>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034D36BD">
      <w:pPr>
        <w:keepNext w:val="0"/>
        <w:keepLines w:val="0"/>
        <w:pageBreakBefore w:val="0"/>
        <w:widowControl w:val="0"/>
        <w:kinsoku/>
        <w:wordWrap/>
        <w:overflowPunct/>
        <w:topLinePunct w:val="0"/>
        <w:autoSpaceDE/>
        <w:autoSpaceDN/>
        <w:bidi w:val="0"/>
        <w:adjustRightInd/>
        <w:snapToGrid w:val="0"/>
        <w:spacing w:line="560" w:lineRule="exact"/>
        <w:ind w:firstLine="5440" w:firstLineChars="17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日</w:t>
      </w:r>
    </w:p>
    <w:p w14:paraId="78314775">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jc w:val="both"/>
        <w:textAlignment w:val="auto"/>
        <w:rPr>
          <w:rFonts w:hint="default" w:ascii="Times New Roman" w:hAnsi="Times New Roman" w:eastAsia="方正仿宋_GBK" w:cs="Times New Roman"/>
          <w:sz w:val="28"/>
          <w:szCs w:val="28"/>
          <w:lang w:eastAsia="zh-CN"/>
        </w:rPr>
      </w:pPr>
    </w:p>
    <w:p w14:paraId="4C3F3CD1">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jc w:val="both"/>
        <w:textAlignment w:val="auto"/>
        <w:rPr>
          <w:rFonts w:hint="default" w:ascii="Times New Roman" w:hAnsi="Times New Roman" w:eastAsia="方正仿宋_GBK" w:cs="Times New Roman"/>
          <w:sz w:val="28"/>
          <w:szCs w:val="28"/>
          <w:lang w:eastAsia="zh-CN"/>
        </w:rPr>
      </w:pPr>
    </w:p>
    <w:p w14:paraId="2BE71FF8">
      <w:pPr>
        <w:keepNext w:val="0"/>
        <w:keepLines w:val="0"/>
        <w:pageBreakBefore w:val="0"/>
        <w:widowControl w:val="0"/>
        <w:kinsoku/>
        <w:wordWrap/>
        <w:overflowPunct/>
        <w:topLinePunct w:val="0"/>
        <w:autoSpaceDE/>
        <w:autoSpaceDN/>
        <w:bidi w:val="0"/>
        <w:adjustRightInd/>
        <w:snapToGrid w:val="0"/>
        <w:spacing w:line="560" w:lineRule="exact"/>
        <w:ind w:firstLine="4200" w:firstLineChars="1500"/>
        <w:jc w:val="both"/>
        <w:textAlignment w:val="auto"/>
        <w:rPr>
          <w:rFonts w:hint="default" w:ascii="Times New Roman" w:hAnsi="Times New Roman" w:eastAsia="方正仿宋_GBK" w:cs="Times New Roman"/>
          <w:sz w:val="28"/>
          <w:szCs w:val="28"/>
          <w:lang w:val="en-US" w:eastAsia="zh-CN"/>
        </w:rPr>
        <w:sectPr>
          <w:pgSz w:w="11906" w:h="16838"/>
          <w:pgMar w:top="1440" w:right="1803" w:bottom="1440" w:left="1803" w:header="851" w:footer="992" w:gutter="0"/>
          <w:cols w:space="0" w:num="1"/>
          <w:rtlGutter w:val="0"/>
          <w:docGrid w:type="lines" w:linePitch="325" w:charSpace="0"/>
        </w:sectPr>
      </w:pPr>
    </w:p>
    <w:p w14:paraId="58A72E22">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E3067B2">
      <w:pPr>
        <w:keepNext w:val="0"/>
        <w:keepLines w:val="0"/>
        <w:pageBreakBefore w:val="0"/>
        <w:widowControl w:val="0"/>
        <w:kinsoku/>
        <w:wordWrap/>
        <w:overflowPunct/>
        <w:topLinePunct w:val="0"/>
        <w:autoSpaceDE/>
        <w:autoSpaceDN/>
        <w:bidi w:val="0"/>
        <w:adjustRightInd w:val="0"/>
        <w:snapToGrid w:val="0"/>
        <w:spacing w:line="560" w:lineRule="exact"/>
        <w:ind w:firstLine="640"/>
        <w:jc w:val="center"/>
        <w:textAlignment w:val="auto"/>
        <w:rPr>
          <w:rFonts w:hint="eastAsia" w:eastAsia="方正仿宋_GBK" w:cs="Times New Roman"/>
          <w:b w:val="0"/>
          <w:bCs w:val="0"/>
          <w:sz w:val="32"/>
          <w:szCs w:val="32"/>
          <w:lang w:val="en-US" w:eastAsia="zh-CN"/>
        </w:rPr>
      </w:pPr>
      <w:r>
        <w:rPr>
          <w:rFonts w:hint="eastAsia" w:ascii="黑体" w:hAnsi="黑体" w:eastAsia="黑体" w:cs="黑体"/>
          <w:sz w:val="32"/>
          <w:szCs w:val="32"/>
          <w:lang w:val="en-US" w:eastAsia="zh-CN"/>
        </w:rPr>
        <w:t>2022年中央农村危房改造补助资金分配表</w:t>
      </w:r>
    </w:p>
    <w:p w14:paraId="543424FE">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right"/>
        <w:textAlignment w:val="auto"/>
        <w:outlineLvl w:val="9"/>
        <w:rPr>
          <w:rFonts w:hint="default" w:ascii="Times New Roman" w:hAnsi="Times New Roman" w:eastAsia="黑体" w:cs="Times New Roman"/>
          <w:b w:val="0"/>
          <w:bCs w:val="0"/>
          <w:sz w:val="32"/>
          <w:szCs w:val="32"/>
          <w:lang w:val="en-US" w:eastAsia="zh-CN"/>
        </w:rPr>
      </w:pPr>
      <w:r>
        <w:rPr>
          <w:rFonts w:hint="eastAsia" w:eastAsia="方正仿宋_GBK" w:cs="Times New Roman"/>
          <w:b w:val="0"/>
          <w:bCs w:val="0"/>
          <w:sz w:val="32"/>
          <w:szCs w:val="32"/>
          <w:lang w:val="en-US" w:eastAsia="zh-CN"/>
        </w:rPr>
        <w:t xml:space="preserve">                                金额单位：万元</w:t>
      </w:r>
      <w:r>
        <w:rPr>
          <w:rFonts w:hint="default" w:ascii="Times New Roman" w:hAnsi="Times New Roman" w:eastAsia="方正仿宋_GBK" w:cs="Times New Roman"/>
          <w:b w:val="0"/>
          <w:bCs w:val="0"/>
          <w:sz w:val="32"/>
          <w:szCs w:val="32"/>
          <w:lang w:val="en-US" w:eastAsia="zh-CN"/>
        </w:rPr>
        <w:t xml:space="preserve">                                 </w:t>
      </w:r>
    </w:p>
    <w:tbl>
      <w:tblPr>
        <w:tblStyle w:val="4"/>
        <w:tblW w:w="14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215"/>
        <w:gridCol w:w="1714"/>
        <w:gridCol w:w="1245"/>
        <w:gridCol w:w="2700"/>
        <w:gridCol w:w="1691"/>
        <w:gridCol w:w="2449"/>
        <w:gridCol w:w="2055"/>
      </w:tblGrid>
      <w:tr w14:paraId="401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00" w:type="dxa"/>
            <w:vMerge w:val="restart"/>
            <w:vAlign w:val="center"/>
          </w:tcPr>
          <w:p w14:paraId="7DB14B3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napToGrid w:val="0"/>
                <w:spacing w:val="-11"/>
                <w:kern w:val="0"/>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单位</w:t>
            </w:r>
          </w:p>
        </w:tc>
        <w:tc>
          <w:tcPr>
            <w:tcW w:w="4174" w:type="dxa"/>
            <w:gridSpan w:val="3"/>
            <w:vAlign w:val="center"/>
          </w:tcPr>
          <w:p w14:paraId="7C1FBF0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补助资金</w:t>
            </w:r>
          </w:p>
        </w:tc>
        <w:tc>
          <w:tcPr>
            <w:tcW w:w="8895" w:type="dxa"/>
            <w:gridSpan w:val="4"/>
            <w:vAlign w:val="center"/>
          </w:tcPr>
          <w:p w14:paraId="3296EC7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2022年农村危房改造和农房抗震改造任务数</w:t>
            </w:r>
            <w:r>
              <w:rPr>
                <w:rFonts w:hint="eastAsia" w:eastAsia="方正仿宋_GBK" w:cs="Times New Roman"/>
                <w:b w:val="0"/>
                <w:bCs w:val="0"/>
                <w:spacing w:val="-11"/>
                <w:sz w:val="30"/>
                <w:szCs w:val="30"/>
                <w:lang w:val="en-US" w:eastAsia="zh-CN"/>
              </w:rPr>
              <w:t>及补助金额</w:t>
            </w:r>
          </w:p>
        </w:tc>
      </w:tr>
      <w:tr w14:paraId="4552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900" w:type="dxa"/>
            <w:vMerge w:val="continue"/>
            <w:vAlign w:val="center"/>
          </w:tcPr>
          <w:p w14:paraId="162959B3">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p>
        </w:tc>
        <w:tc>
          <w:tcPr>
            <w:tcW w:w="1215" w:type="dxa"/>
            <w:vAlign w:val="center"/>
          </w:tcPr>
          <w:p w14:paraId="1168740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eastAsia="方正仿宋_GBK" w:cs="Times New Roman"/>
                <w:b w:val="0"/>
                <w:bCs w:val="0"/>
                <w:spacing w:val="-11"/>
                <w:sz w:val="30"/>
                <w:szCs w:val="30"/>
                <w:lang w:val="en-US" w:eastAsia="zh-CN"/>
              </w:rPr>
              <w:t>合 计</w:t>
            </w:r>
          </w:p>
        </w:tc>
        <w:tc>
          <w:tcPr>
            <w:tcW w:w="1714" w:type="dxa"/>
            <w:vAlign w:val="center"/>
          </w:tcPr>
          <w:p w14:paraId="0D38B75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已</w:t>
            </w:r>
            <w:r>
              <w:rPr>
                <w:rFonts w:hint="default" w:ascii="Times New Roman" w:hAnsi="Times New Roman" w:eastAsia="方正仿宋_GBK" w:cs="Times New Roman"/>
                <w:b w:val="0"/>
                <w:bCs w:val="0"/>
                <w:spacing w:val="-11"/>
                <w:sz w:val="30"/>
                <w:szCs w:val="30"/>
                <w:lang w:val="en-US" w:eastAsia="zh-CN"/>
              </w:rPr>
              <w:t>下达资金</w:t>
            </w:r>
          </w:p>
        </w:tc>
        <w:tc>
          <w:tcPr>
            <w:tcW w:w="1245" w:type="dxa"/>
            <w:vAlign w:val="center"/>
          </w:tcPr>
          <w:p w14:paraId="0F4EA4C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本次下达资金</w:t>
            </w:r>
          </w:p>
        </w:tc>
        <w:tc>
          <w:tcPr>
            <w:tcW w:w="2700" w:type="dxa"/>
            <w:vAlign w:val="center"/>
          </w:tcPr>
          <w:p w14:paraId="300DA3F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农村危房改造年度目标任务数（户）</w:t>
            </w:r>
          </w:p>
        </w:tc>
        <w:tc>
          <w:tcPr>
            <w:tcW w:w="1691" w:type="dxa"/>
            <w:vAlign w:val="center"/>
          </w:tcPr>
          <w:p w14:paraId="2CC7EA7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农村危房改造</w:t>
            </w:r>
            <w:r>
              <w:rPr>
                <w:rFonts w:hint="eastAsia" w:eastAsia="方正仿宋_GBK" w:cs="Times New Roman"/>
                <w:b w:val="0"/>
                <w:bCs w:val="0"/>
                <w:spacing w:val="-11"/>
                <w:sz w:val="30"/>
                <w:szCs w:val="30"/>
                <w:lang w:val="en-US" w:eastAsia="zh-CN"/>
              </w:rPr>
              <w:t>补助资金</w:t>
            </w:r>
          </w:p>
        </w:tc>
        <w:tc>
          <w:tcPr>
            <w:tcW w:w="2449" w:type="dxa"/>
            <w:vAlign w:val="center"/>
          </w:tcPr>
          <w:p w14:paraId="78D5718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农房抗震改造年度目标任务数（户）</w:t>
            </w:r>
          </w:p>
        </w:tc>
        <w:tc>
          <w:tcPr>
            <w:tcW w:w="2055" w:type="dxa"/>
            <w:vAlign w:val="center"/>
          </w:tcPr>
          <w:p w14:paraId="6CFDA65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农房抗震改造</w:t>
            </w:r>
            <w:r>
              <w:rPr>
                <w:rFonts w:hint="eastAsia" w:eastAsia="方正仿宋_GBK" w:cs="Times New Roman"/>
                <w:b w:val="0"/>
                <w:bCs w:val="0"/>
                <w:spacing w:val="-11"/>
                <w:sz w:val="30"/>
                <w:szCs w:val="30"/>
                <w:lang w:val="en-US" w:eastAsia="zh-CN"/>
              </w:rPr>
              <w:t>补助资金</w:t>
            </w:r>
          </w:p>
        </w:tc>
      </w:tr>
      <w:tr w14:paraId="0FC8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900" w:type="dxa"/>
            <w:vAlign w:val="center"/>
          </w:tcPr>
          <w:p w14:paraId="052580A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仿宋_GB2312" w:hAnsi="仿宋_GB2312" w:eastAsia="仿宋_GB2312" w:cs="Times New Roman"/>
                <w:sz w:val="32"/>
                <w:szCs w:val="32"/>
                <w:lang w:eastAsia="zh-CN"/>
              </w:rPr>
              <w:t>梁河县住房和城乡建设局</w:t>
            </w:r>
          </w:p>
        </w:tc>
        <w:tc>
          <w:tcPr>
            <w:tcW w:w="1215" w:type="dxa"/>
            <w:vAlign w:val="center"/>
          </w:tcPr>
          <w:p w14:paraId="6DC08D3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266</w:t>
            </w:r>
          </w:p>
        </w:tc>
        <w:tc>
          <w:tcPr>
            <w:tcW w:w="1714" w:type="dxa"/>
            <w:vAlign w:val="center"/>
          </w:tcPr>
          <w:p w14:paraId="6E70C4B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default" w:ascii="Times New Roman" w:hAnsi="Times New Roman" w:eastAsia="方正仿宋_GBK" w:cs="Times New Roman"/>
                <w:b w:val="0"/>
                <w:bCs w:val="0"/>
                <w:spacing w:val="-11"/>
                <w:sz w:val="30"/>
                <w:szCs w:val="30"/>
                <w:lang w:val="en-US" w:eastAsia="zh-CN"/>
              </w:rPr>
              <w:t>60</w:t>
            </w:r>
          </w:p>
        </w:tc>
        <w:tc>
          <w:tcPr>
            <w:tcW w:w="1245" w:type="dxa"/>
            <w:vAlign w:val="center"/>
          </w:tcPr>
          <w:p w14:paraId="3D6FADC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206</w:t>
            </w:r>
          </w:p>
        </w:tc>
        <w:tc>
          <w:tcPr>
            <w:tcW w:w="2700" w:type="dxa"/>
            <w:vAlign w:val="center"/>
          </w:tcPr>
          <w:p w14:paraId="5DD5295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0</w:t>
            </w:r>
          </w:p>
        </w:tc>
        <w:tc>
          <w:tcPr>
            <w:tcW w:w="1691" w:type="dxa"/>
            <w:vAlign w:val="center"/>
          </w:tcPr>
          <w:p w14:paraId="295D488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spacing w:val="-11"/>
                <w:sz w:val="30"/>
                <w:szCs w:val="30"/>
                <w:lang w:val="en-US" w:eastAsia="zh-CN"/>
              </w:rPr>
            </w:pPr>
          </w:p>
        </w:tc>
        <w:tc>
          <w:tcPr>
            <w:tcW w:w="2449" w:type="dxa"/>
            <w:vAlign w:val="center"/>
          </w:tcPr>
          <w:p w14:paraId="5EC2174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0"/>
                <w:szCs w:val="30"/>
                <w:lang w:val="en-US" w:eastAsia="zh-CN"/>
              </w:rPr>
            </w:pPr>
            <w:r>
              <w:rPr>
                <w:rFonts w:hint="eastAsia" w:ascii="Times New Roman" w:hAnsi="Times New Roman" w:eastAsia="方正仿宋_GBK" w:cs="Times New Roman"/>
                <w:b w:val="0"/>
                <w:bCs w:val="0"/>
                <w:spacing w:val="-11"/>
                <w:sz w:val="30"/>
                <w:szCs w:val="30"/>
                <w:lang w:val="en-US" w:eastAsia="zh-CN"/>
              </w:rPr>
              <w:t>266</w:t>
            </w:r>
          </w:p>
        </w:tc>
        <w:tc>
          <w:tcPr>
            <w:tcW w:w="2055" w:type="dxa"/>
            <w:vAlign w:val="center"/>
          </w:tcPr>
          <w:p w14:paraId="2543A8A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pacing w:val="-11"/>
                <w:sz w:val="32"/>
                <w:szCs w:val="32"/>
                <w:lang w:val="en-US" w:eastAsia="zh-CN"/>
              </w:rPr>
            </w:pPr>
            <w:r>
              <w:rPr>
                <w:rFonts w:hint="eastAsia" w:eastAsia="方正仿宋_GBK" w:cs="Times New Roman"/>
                <w:b w:val="0"/>
                <w:bCs w:val="0"/>
                <w:spacing w:val="-11"/>
                <w:sz w:val="32"/>
                <w:szCs w:val="32"/>
                <w:lang w:val="en-US" w:eastAsia="zh-CN"/>
              </w:rPr>
              <w:t>266</w:t>
            </w:r>
          </w:p>
        </w:tc>
      </w:tr>
    </w:tbl>
    <w:p w14:paraId="7543BC4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1917240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A1211C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1F65DF5C">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0CA9958">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1AFE4A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2109F80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C078EF3">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5A7199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2E9FDF3">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797" w:right="1440" w:bottom="1797" w:left="1440" w:header="851" w:footer="992" w:gutter="0"/>
          <w:pgNumType w:fmt="decimal"/>
          <w:cols w:space="0" w:num="1"/>
          <w:rtlGutter w:val="0"/>
          <w:docGrid w:type="lines" w:linePitch="319" w:charSpace="0"/>
        </w:sectPr>
      </w:pPr>
    </w:p>
    <w:p w14:paraId="09DCE33B">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67085CE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省级对地方转移支付区域绩效目标表</w:t>
      </w:r>
    </w:p>
    <w:p w14:paraId="01C844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年度）</w:t>
      </w:r>
    </w:p>
    <w:p w14:paraId="60494355">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Times New Roman" w:hAnsi="Times New Roman" w:eastAsia="方正仿宋_GBK" w:cs="Times New Roman"/>
          <w:sz w:val="21"/>
          <w:szCs w:val="21"/>
        </w:rPr>
      </w:pPr>
    </w:p>
    <w:tbl>
      <w:tblPr>
        <w:tblStyle w:val="4"/>
        <w:tblpPr w:leftFromText="180" w:rightFromText="180" w:vertAnchor="text" w:horzAnchor="page" w:tblpX="1252" w:tblpY="166"/>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45"/>
        <w:gridCol w:w="507"/>
        <w:gridCol w:w="1368"/>
        <w:gridCol w:w="905"/>
        <w:gridCol w:w="2295"/>
        <w:gridCol w:w="595"/>
        <w:gridCol w:w="2744"/>
      </w:tblGrid>
      <w:tr w14:paraId="3EE7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gridSpan w:val="3"/>
            <w:noWrap w:val="0"/>
            <w:vAlign w:val="top"/>
          </w:tcPr>
          <w:p w14:paraId="78325E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907" w:type="dxa"/>
            <w:gridSpan w:val="5"/>
            <w:noWrap w:val="0"/>
            <w:vAlign w:val="top"/>
          </w:tcPr>
          <w:p w14:paraId="4DB42A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中央财政</w:t>
            </w:r>
            <w:r>
              <w:rPr>
                <w:rFonts w:hint="default" w:ascii="Times New Roman" w:hAnsi="Times New Roman" w:eastAsia="方正仿宋_GBK" w:cs="Times New Roman"/>
                <w:sz w:val="21"/>
                <w:szCs w:val="21"/>
              </w:rPr>
              <w:t>农村危房改造补助资金</w:t>
            </w:r>
          </w:p>
        </w:tc>
      </w:tr>
      <w:tr w14:paraId="00A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gridSpan w:val="3"/>
            <w:noWrap w:val="0"/>
            <w:vAlign w:val="top"/>
          </w:tcPr>
          <w:p w14:paraId="5C69C0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7907" w:type="dxa"/>
            <w:gridSpan w:val="5"/>
            <w:noWrap w:val="0"/>
            <w:vAlign w:val="top"/>
          </w:tcPr>
          <w:p w14:paraId="3B608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云南省住房和城乡建设厅</w:t>
            </w:r>
          </w:p>
        </w:tc>
      </w:tr>
      <w:tr w14:paraId="7207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52" w:type="dxa"/>
            <w:gridSpan w:val="3"/>
            <w:noWrap w:val="0"/>
            <w:vAlign w:val="top"/>
          </w:tcPr>
          <w:p w14:paraId="446705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州级</w:t>
            </w:r>
            <w:r>
              <w:rPr>
                <w:rFonts w:hint="default" w:ascii="Times New Roman" w:hAnsi="Times New Roman" w:eastAsia="方正仿宋_GBK" w:cs="Times New Roman"/>
                <w:sz w:val="21"/>
                <w:szCs w:val="21"/>
              </w:rPr>
              <w:t>财政部门</w:t>
            </w:r>
          </w:p>
        </w:tc>
        <w:tc>
          <w:tcPr>
            <w:tcW w:w="2273" w:type="dxa"/>
            <w:gridSpan w:val="2"/>
            <w:noWrap w:val="0"/>
            <w:vAlign w:val="top"/>
          </w:tcPr>
          <w:p w14:paraId="60ED5F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德宏州财政局</w:t>
            </w:r>
          </w:p>
        </w:tc>
        <w:tc>
          <w:tcPr>
            <w:tcW w:w="2295" w:type="dxa"/>
            <w:noWrap w:val="0"/>
            <w:vAlign w:val="top"/>
          </w:tcPr>
          <w:p w14:paraId="6397C8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州级</w:t>
            </w:r>
            <w:r>
              <w:rPr>
                <w:rFonts w:hint="default" w:ascii="Times New Roman" w:hAnsi="Times New Roman" w:eastAsia="方正仿宋_GBK" w:cs="Times New Roman"/>
                <w:sz w:val="21"/>
                <w:szCs w:val="21"/>
              </w:rPr>
              <w:t>主管部门</w:t>
            </w:r>
          </w:p>
        </w:tc>
        <w:tc>
          <w:tcPr>
            <w:tcW w:w="3339" w:type="dxa"/>
            <w:gridSpan w:val="2"/>
            <w:noWrap w:val="0"/>
            <w:vAlign w:val="top"/>
          </w:tcPr>
          <w:p w14:paraId="563AC8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德宏州</w:t>
            </w:r>
            <w:r>
              <w:rPr>
                <w:rFonts w:hint="default" w:ascii="Times New Roman" w:hAnsi="Times New Roman" w:eastAsia="方正仿宋_GBK" w:cs="Times New Roman"/>
                <w:sz w:val="21"/>
                <w:szCs w:val="21"/>
              </w:rPr>
              <w:t>住房</w:t>
            </w:r>
            <w:r>
              <w:rPr>
                <w:rFonts w:hint="default" w:ascii="Times New Roman" w:hAnsi="Times New Roman" w:eastAsia="方正仿宋_GBK" w:cs="Times New Roman"/>
                <w:sz w:val="21"/>
                <w:szCs w:val="21"/>
                <w:lang w:eastAsia="zh-CN"/>
              </w:rPr>
              <w:t>和</w:t>
            </w:r>
            <w:r>
              <w:rPr>
                <w:rFonts w:hint="default" w:ascii="Times New Roman" w:hAnsi="Times New Roman" w:eastAsia="方正仿宋_GBK" w:cs="Times New Roman"/>
                <w:sz w:val="21"/>
                <w:szCs w:val="21"/>
              </w:rPr>
              <w:t>城乡建设局</w:t>
            </w:r>
          </w:p>
        </w:tc>
      </w:tr>
      <w:tr w14:paraId="7CA6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45" w:type="dxa"/>
            <w:gridSpan w:val="2"/>
            <w:vMerge w:val="restart"/>
            <w:noWrap w:val="0"/>
            <w:vAlign w:val="center"/>
          </w:tcPr>
          <w:p w14:paraId="123E47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资金情况（万元）</w:t>
            </w:r>
          </w:p>
        </w:tc>
        <w:tc>
          <w:tcPr>
            <w:tcW w:w="5075" w:type="dxa"/>
            <w:gridSpan w:val="4"/>
            <w:noWrap w:val="0"/>
            <w:vAlign w:val="top"/>
          </w:tcPr>
          <w:p w14:paraId="76466AB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下达资金总额</w:t>
            </w:r>
          </w:p>
        </w:tc>
        <w:tc>
          <w:tcPr>
            <w:tcW w:w="3339" w:type="dxa"/>
            <w:gridSpan w:val="2"/>
            <w:noWrap w:val="0"/>
            <w:vAlign w:val="top"/>
          </w:tcPr>
          <w:p w14:paraId="46E3B1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val="en-US" w:eastAsia="zh-CN"/>
              </w:rPr>
            </w:pPr>
          </w:p>
        </w:tc>
      </w:tr>
      <w:tr w14:paraId="410F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45" w:type="dxa"/>
            <w:gridSpan w:val="2"/>
            <w:vMerge w:val="continue"/>
            <w:noWrap w:val="0"/>
            <w:vAlign w:val="top"/>
          </w:tcPr>
          <w:p w14:paraId="43EDD62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p>
        </w:tc>
        <w:tc>
          <w:tcPr>
            <w:tcW w:w="5075" w:type="dxa"/>
            <w:gridSpan w:val="4"/>
            <w:noWrap w:val="0"/>
            <w:vAlign w:val="top"/>
          </w:tcPr>
          <w:p w14:paraId="6904B5B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其中：中央财政补助</w:t>
            </w:r>
          </w:p>
        </w:tc>
        <w:tc>
          <w:tcPr>
            <w:tcW w:w="3339" w:type="dxa"/>
            <w:gridSpan w:val="2"/>
            <w:noWrap w:val="0"/>
            <w:vAlign w:val="top"/>
          </w:tcPr>
          <w:p w14:paraId="2C7E28C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1"/>
                <w:szCs w:val="21"/>
                <w:lang w:val="en-US" w:eastAsia="zh-CN" w:bidi="ar-SA"/>
              </w:rPr>
            </w:pPr>
            <w:r>
              <w:rPr>
                <w:rFonts w:hint="eastAsia" w:eastAsia="方正仿宋_GBK" w:cs="Times New Roman"/>
                <w:kern w:val="2"/>
                <w:sz w:val="21"/>
                <w:szCs w:val="21"/>
                <w:lang w:val="en-US" w:eastAsia="zh-CN" w:bidi="ar-SA"/>
              </w:rPr>
              <w:t>4727（本次下达3981）</w:t>
            </w:r>
          </w:p>
        </w:tc>
      </w:tr>
      <w:tr w14:paraId="49CF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245" w:type="dxa"/>
            <w:gridSpan w:val="2"/>
            <w:vMerge w:val="continue"/>
            <w:noWrap w:val="0"/>
            <w:vAlign w:val="top"/>
          </w:tcPr>
          <w:p w14:paraId="12A522A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p>
        </w:tc>
        <w:tc>
          <w:tcPr>
            <w:tcW w:w="8414" w:type="dxa"/>
            <w:gridSpan w:val="6"/>
            <w:noWrap w:val="0"/>
            <w:vAlign w:val="top"/>
          </w:tcPr>
          <w:p w14:paraId="371F146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地方资金</w:t>
            </w:r>
          </w:p>
        </w:tc>
      </w:tr>
      <w:tr w14:paraId="1CB2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752" w:type="dxa"/>
            <w:gridSpan w:val="3"/>
            <w:noWrap w:val="0"/>
            <w:vAlign w:val="top"/>
          </w:tcPr>
          <w:p w14:paraId="287718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年度</w:t>
            </w:r>
            <w:r>
              <w:rPr>
                <w:rFonts w:hint="default" w:ascii="Times New Roman" w:hAnsi="Times New Roman" w:eastAsia="方正仿宋_GBK" w:cs="Times New Roman"/>
                <w:sz w:val="21"/>
                <w:szCs w:val="21"/>
              </w:rPr>
              <w:t>总体目标</w:t>
            </w:r>
          </w:p>
        </w:tc>
        <w:tc>
          <w:tcPr>
            <w:tcW w:w="7907" w:type="dxa"/>
            <w:gridSpan w:val="5"/>
            <w:noWrap w:val="0"/>
            <w:vAlign w:val="top"/>
          </w:tcPr>
          <w:p w14:paraId="7DFE6C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支持</w:t>
            </w:r>
            <w:r>
              <w:rPr>
                <w:rFonts w:hint="eastAsia" w:eastAsia="方正仿宋_GBK" w:cs="Times New Roman"/>
                <w:sz w:val="21"/>
                <w:szCs w:val="21"/>
                <w:lang w:val="en-US" w:eastAsia="zh-CN"/>
              </w:rPr>
              <w:t>农村低收入等重点对象实施农房改造和农房抗震改造，保障其基本住房安全</w:t>
            </w:r>
            <w:r>
              <w:rPr>
                <w:rFonts w:hint="default" w:ascii="Times New Roman" w:hAnsi="Times New Roman" w:eastAsia="方正仿宋_GBK" w:cs="Times New Roman"/>
                <w:sz w:val="21"/>
                <w:szCs w:val="21"/>
                <w:lang w:val="en-US" w:eastAsia="zh-CN"/>
              </w:rPr>
              <w:t>。</w:t>
            </w:r>
          </w:p>
        </w:tc>
      </w:tr>
      <w:tr w14:paraId="309C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00" w:type="dxa"/>
            <w:vMerge w:val="restart"/>
            <w:noWrap w:val="0"/>
            <w:vAlign w:val="top"/>
          </w:tcPr>
          <w:p w14:paraId="623B9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14:paraId="5363E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14:paraId="177E0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14:paraId="2FBA30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14:paraId="2D81E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14:paraId="12BA0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1152" w:type="dxa"/>
            <w:gridSpan w:val="2"/>
            <w:noWrap w:val="0"/>
            <w:vAlign w:val="top"/>
          </w:tcPr>
          <w:p w14:paraId="31FC2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一级目标</w:t>
            </w:r>
          </w:p>
        </w:tc>
        <w:tc>
          <w:tcPr>
            <w:tcW w:w="1368" w:type="dxa"/>
            <w:noWrap w:val="0"/>
            <w:vAlign w:val="top"/>
          </w:tcPr>
          <w:p w14:paraId="33325F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二级目标</w:t>
            </w:r>
          </w:p>
        </w:tc>
        <w:tc>
          <w:tcPr>
            <w:tcW w:w="3795" w:type="dxa"/>
            <w:gridSpan w:val="3"/>
            <w:noWrap w:val="0"/>
            <w:vAlign w:val="top"/>
          </w:tcPr>
          <w:p w14:paraId="655127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三级目标</w:t>
            </w:r>
          </w:p>
        </w:tc>
        <w:tc>
          <w:tcPr>
            <w:tcW w:w="2744" w:type="dxa"/>
            <w:noWrap w:val="0"/>
            <w:vAlign w:val="top"/>
          </w:tcPr>
          <w:p w14:paraId="44532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140C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00" w:type="dxa"/>
            <w:vMerge w:val="continue"/>
            <w:noWrap w:val="0"/>
            <w:vAlign w:val="top"/>
          </w:tcPr>
          <w:p w14:paraId="30F66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restart"/>
            <w:noWrap w:val="0"/>
            <w:vAlign w:val="top"/>
          </w:tcPr>
          <w:p w14:paraId="489BE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14:paraId="43B64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p w14:paraId="1514D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14:paraId="1162D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368" w:type="dxa"/>
            <w:vMerge w:val="restart"/>
            <w:noWrap w:val="0"/>
            <w:vAlign w:val="top"/>
          </w:tcPr>
          <w:p w14:paraId="0FD411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795" w:type="dxa"/>
            <w:gridSpan w:val="3"/>
            <w:noWrap w:val="0"/>
            <w:vAlign w:val="top"/>
          </w:tcPr>
          <w:p w14:paraId="55E94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农村危房改造任务户数</w:t>
            </w:r>
          </w:p>
        </w:tc>
        <w:tc>
          <w:tcPr>
            <w:tcW w:w="2744" w:type="dxa"/>
            <w:noWrap w:val="0"/>
            <w:vAlign w:val="top"/>
          </w:tcPr>
          <w:p w14:paraId="616667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eastAsia" w:eastAsia="方正仿宋_GBK" w:cs="Times New Roman"/>
                <w:sz w:val="21"/>
                <w:szCs w:val="21"/>
                <w:lang w:val="en-US" w:eastAsia="zh-CN"/>
              </w:rPr>
              <w:t>166户</w:t>
            </w:r>
          </w:p>
        </w:tc>
      </w:tr>
      <w:tr w14:paraId="6C7F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00" w:type="dxa"/>
            <w:vMerge w:val="continue"/>
            <w:noWrap w:val="0"/>
            <w:vAlign w:val="top"/>
          </w:tcPr>
          <w:p w14:paraId="1BB4EC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04C62C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14:paraId="182DF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14:paraId="7AFD14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农房抗震改造</w:t>
            </w:r>
            <w:r>
              <w:rPr>
                <w:rFonts w:hint="default" w:ascii="Times New Roman" w:hAnsi="Times New Roman" w:eastAsia="方正仿宋_GBK" w:cs="Times New Roman"/>
                <w:sz w:val="21"/>
                <w:szCs w:val="21"/>
                <w:lang w:val="en-US" w:eastAsia="zh-CN"/>
              </w:rPr>
              <w:t>任务</w:t>
            </w:r>
            <w:r>
              <w:rPr>
                <w:rFonts w:hint="eastAsia" w:eastAsia="方正仿宋_GBK" w:cs="Times New Roman"/>
                <w:sz w:val="21"/>
                <w:szCs w:val="21"/>
                <w:lang w:val="en-US" w:eastAsia="zh-CN"/>
              </w:rPr>
              <w:t>户数</w:t>
            </w:r>
          </w:p>
        </w:tc>
        <w:tc>
          <w:tcPr>
            <w:tcW w:w="2744" w:type="dxa"/>
            <w:noWrap w:val="0"/>
            <w:vAlign w:val="top"/>
          </w:tcPr>
          <w:p w14:paraId="244102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eastAsia" w:eastAsia="方正仿宋_GBK" w:cs="Times New Roman"/>
                <w:sz w:val="21"/>
                <w:szCs w:val="21"/>
                <w:lang w:val="en-US" w:eastAsia="zh-CN"/>
              </w:rPr>
              <w:t>4516户</w:t>
            </w:r>
          </w:p>
        </w:tc>
      </w:tr>
      <w:tr w14:paraId="1D9C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0" w:type="dxa"/>
            <w:vMerge w:val="continue"/>
            <w:noWrap w:val="0"/>
            <w:vAlign w:val="top"/>
          </w:tcPr>
          <w:p w14:paraId="36A07B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02A8E1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restart"/>
            <w:noWrap w:val="0"/>
            <w:vAlign w:val="top"/>
          </w:tcPr>
          <w:p w14:paraId="78AB0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795" w:type="dxa"/>
            <w:gridSpan w:val="3"/>
            <w:noWrap w:val="0"/>
            <w:vAlign w:val="top"/>
          </w:tcPr>
          <w:p w14:paraId="457660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改造后房屋验收合格</w:t>
            </w:r>
            <w:r>
              <w:rPr>
                <w:rFonts w:hint="default" w:ascii="Times New Roman" w:hAnsi="Times New Roman" w:eastAsia="方正仿宋_GBK" w:cs="Times New Roman"/>
                <w:sz w:val="21"/>
                <w:szCs w:val="21"/>
                <w:lang w:val="en-US" w:eastAsia="zh-CN"/>
              </w:rPr>
              <w:t>率</w:t>
            </w:r>
          </w:p>
        </w:tc>
        <w:tc>
          <w:tcPr>
            <w:tcW w:w="2744" w:type="dxa"/>
            <w:noWrap w:val="0"/>
            <w:vAlign w:val="top"/>
          </w:tcPr>
          <w:p w14:paraId="30FE0A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14:paraId="4B51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00" w:type="dxa"/>
            <w:vMerge w:val="continue"/>
            <w:noWrap w:val="0"/>
            <w:vAlign w:val="top"/>
          </w:tcPr>
          <w:p w14:paraId="46676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080ED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14:paraId="4E36F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14:paraId="08C2D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农房设计</w:t>
            </w:r>
          </w:p>
        </w:tc>
        <w:tc>
          <w:tcPr>
            <w:tcW w:w="2744" w:type="dxa"/>
            <w:noWrap w:val="0"/>
            <w:vAlign w:val="top"/>
          </w:tcPr>
          <w:p w14:paraId="1F775C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有基本设计或采用标准图集</w:t>
            </w:r>
          </w:p>
        </w:tc>
      </w:tr>
      <w:tr w14:paraId="386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vMerge w:val="continue"/>
            <w:noWrap w:val="0"/>
            <w:vAlign w:val="top"/>
          </w:tcPr>
          <w:p w14:paraId="2C9C8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069B66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noWrap w:val="0"/>
            <w:vAlign w:val="top"/>
          </w:tcPr>
          <w:p w14:paraId="40B533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795" w:type="dxa"/>
            <w:gridSpan w:val="3"/>
            <w:noWrap w:val="0"/>
            <w:vAlign w:val="top"/>
          </w:tcPr>
          <w:p w14:paraId="205735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危房改造和农房抗震改造</w:t>
            </w:r>
            <w:r>
              <w:rPr>
                <w:rFonts w:hint="default" w:ascii="Times New Roman" w:hAnsi="Times New Roman" w:eastAsia="方正仿宋_GBK" w:cs="Times New Roman"/>
                <w:sz w:val="21"/>
                <w:szCs w:val="21"/>
                <w:lang w:val="en-US" w:eastAsia="zh-CN"/>
              </w:rPr>
              <w:t>开工率</w:t>
            </w:r>
          </w:p>
        </w:tc>
        <w:tc>
          <w:tcPr>
            <w:tcW w:w="2744" w:type="dxa"/>
            <w:noWrap w:val="0"/>
            <w:vAlign w:val="top"/>
          </w:tcPr>
          <w:p w14:paraId="2F0FA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14:paraId="1CFF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0" w:type="dxa"/>
            <w:vMerge w:val="continue"/>
            <w:noWrap w:val="0"/>
            <w:vAlign w:val="top"/>
          </w:tcPr>
          <w:p w14:paraId="58639B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10596F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noWrap w:val="0"/>
            <w:vAlign w:val="top"/>
          </w:tcPr>
          <w:p w14:paraId="338A58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14:paraId="19F976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危房改造和实施农房抗震改造工作竣工率</w:t>
            </w:r>
          </w:p>
        </w:tc>
        <w:tc>
          <w:tcPr>
            <w:tcW w:w="2744" w:type="dxa"/>
            <w:noWrap w:val="0"/>
            <w:vAlign w:val="top"/>
          </w:tcPr>
          <w:p w14:paraId="603575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eastAsia" w:eastAsia="方正仿宋_GBK" w:cs="Times New Roman"/>
                <w:sz w:val="21"/>
                <w:szCs w:val="21"/>
                <w:lang w:val="en-US" w:eastAsia="zh-CN"/>
              </w:rPr>
              <w:t>80</w:t>
            </w:r>
            <w:r>
              <w:rPr>
                <w:rFonts w:hint="default" w:ascii="Times New Roman" w:hAnsi="Times New Roman" w:eastAsia="方正仿宋_GBK" w:cs="Times New Roman"/>
                <w:sz w:val="21"/>
                <w:szCs w:val="21"/>
                <w:lang w:val="en-US" w:eastAsia="zh-CN"/>
              </w:rPr>
              <w:t>%</w:t>
            </w:r>
          </w:p>
        </w:tc>
      </w:tr>
      <w:tr w14:paraId="1EB6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00" w:type="dxa"/>
            <w:vMerge w:val="continue"/>
            <w:noWrap w:val="0"/>
            <w:vAlign w:val="top"/>
          </w:tcPr>
          <w:p w14:paraId="1F68E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27A2B0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restart"/>
            <w:noWrap w:val="0"/>
            <w:vAlign w:val="top"/>
          </w:tcPr>
          <w:p w14:paraId="65C97A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1"/>
                <w:szCs w:val="21"/>
              </w:rPr>
            </w:pPr>
          </w:p>
          <w:p w14:paraId="7AC93F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795" w:type="dxa"/>
            <w:gridSpan w:val="3"/>
            <w:noWrap w:val="0"/>
            <w:vAlign w:val="top"/>
          </w:tcPr>
          <w:p w14:paraId="4AC64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农村</w:t>
            </w:r>
            <w:r>
              <w:rPr>
                <w:rFonts w:hint="default" w:ascii="Times New Roman" w:hAnsi="Times New Roman" w:eastAsia="方正仿宋_GBK" w:cs="Times New Roman"/>
                <w:sz w:val="21"/>
                <w:szCs w:val="21"/>
                <w:lang w:val="en-US" w:eastAsia="zh-CN"/>
              </w:rPr>
              <w:t>低收入群体</w:t>
            </w:r>
            <w:r>
              <w:rPr>
                <w:rFonts w:hint="default" w:ascii="Times New Roman" w:hAnsi="Times New Roman" w:eastAsia="方正仿宋_GBK" w:cs="Times New Roman"/>
                <w:sz w:val="21"/>
                <w:szCs w:val="21"/>
                <w:lang w:eastAsia="zh-CN"/>
              </w:rPr>
              <w:t>危房改造</w:t>
            </w:r>
            <w:r>
              <w:rPr>
                <w:rFonts w:hint="default" w:ascii="Times New Roman" w:hAnsi="Times New Roman" w:eastAsia="方正仿宋_GBK" w:cs="Times New Roman"/>
                <w:sz w:val="21"/>
                <w:szCs w:val="21"/>
              </w:rPr>
              <w:t>执行分类分级补助标准</w:t>
            </w:r>
            <w:r>
              <w:rPr>
                <w:rFonts w:hint="eastAsia" w:eastAsia="方正仿宋_GBK" w:cs="Times New Roman"/>
                <w:sz w:val="21"/>
                <w:szCs w:val="21"/>
                <w:lang w:val="en-US" w:eastAsia="zh-CN"/>
              </w:rPr>
              <w:t>执行率</w:t>
            </w:r>
          </w:p>
        </w:tc>
        <w:tc>
          <w:tcPr>
            <w:tcW w:w="2744" w:type="dxa"/>
            <w:noWrap w:val="0"/>
            <w:vAlign w:val="top"/>
          </w:tcPr>
          <w:p w14:paraId="19CBD1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14:paraId="7EB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0" w:type="dxa"/>
            <w:vMerge w:val="continue"/>
            <w:noWrap w:val="0"/>
            <w:vAlign w:val="top"/>
          </w:tcPr>
          <w:p w14:paraId="11AF2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71509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14:paraId="577BE8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14:paraId="361D23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一户一方案</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改造方式执行率</w:t>
            </w:r>
          </w:p>
        </w:tc>
        <w:tc>
          <w:tcPr>
            <w:tcW w:w="2744" w:type="dxa"/>
            <w:noWrap w:val="0"/>
            <w:vAlign w:val="top"/>
          </w:tcPr>
          <w:p w14:paraId="53B345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14:paraId="0253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00" w:type="dxa"/>
            <w:vMerge w:val="continue"/>
            <w:noWrap w:val="0"/>
            <w:vAlign w:val="top"/>
          </w:tcPr>
          <w:p w14:paraId="6118EA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restart"/>
            <w:noWrap w:val="0"/>
            <w:vAlign w:val="top"/>
          </w:tcPr>
          <w:p w14:paraId="0E848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p w14:paraId="028BF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6D7AA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368" w:type="dxa"/>
            <w:vMerge w:val="restart"/>
            <w:noWrap w:val="0"/>
            <w:vAlign w:val="top"/>
          </w:tcPr>
          <w:p w14:paraId="1F279E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p w14:paraId="3F9860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3795" w:type="dxa"/>
            <w:gridSpan w:val="3"/>
            <w:noWrap w:val="0"/>
            <w:vAlign w:val="top"/>
          </w:tcPr>
          <w:p w14:paraId="410BE1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改造后房屋在相当于本地区抗震设防烈度地震中表现</w:t>
            </w:r>
          </w:p>
        </w:tc>
        <w:tc>
          <w:tcPr>
            <w:tcW w:w="2744" w:type="dxa"/>
            <w:noWrap w:val="0"/>
            <w:vAlign w:val="top"/>
          </w:tcPr>
          <w:p w14:paraId="7352FB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无严重损毁</w:t>
            </w:r>
          </w:p>
        </w:tc>
      </w:tr>
      <w:tr w14:paraId="6FB8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600" w:type="dxa"/>
            <w:vMerge w:val="continue"/>
            <w:noWrap w:val="0"/>
            <w:vAlign w:val="top"/>
          </w:tcPr>
          <w:p w14:paraId="0C666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3ADB7F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14:paraId="1A4790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14:paraId="409698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装配式、绿色建筑、节能改造等新型建筑技术应用率</w:t>
            </w:r>
          </w:p>
        </w:tc>
        <w:tc>
          <w:tcPr>
            <w:tcW w:w="2744" w:type="dxa"/>
            <w:noWrap w:val="0"/>
            <w:vAlign w:val="top"/>
          </w:tcPr>
          <w:p w14:paraId="29FD7C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50%</w:t>
            </w:r>
          </w:p>
        </w:tc>
      </w:tr>
      <w:tr w14:paraId="7AC3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600" w:type="dxa"/>
            <w:vMerge w:val="continue"/>
            <w:noWrap w:val="0"/>
            <w:vAlign w:val="top"/>
          </w:tcPr>
          <w:p w14:paraId="0D868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28476E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68" w:type="dxa"/>
            <w:vMerge w:val="continue"/>
            <w:noWrap w:val="0"/>
            <w:vAlign w:val="top"/>
          </w:tcPr>
          <w:p w14:paraId="3F0105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3795" w:type="dxa"/>
            <w:gridSpan w:val="3"/>
            <w:noWrap w:val="0"/>
            <w:vAlign w:val="top"/>
          </w:tcPr>
          <w:p w14:paraId="556224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乡村振兴重点帮扶县按照统筹整合使用财政涉农资金的相关要求，将资金统筹安排使用</w:t>
            </w:r>
          </w:p>
        </w:tc>
        <w:tc>
          <w:tcPr>
            <w:tcW w:w="2744" w:type="dxa"/>
            <w:noWrap w:val="0"/>
            <w:vAlign w:val="top"/>
          </w:tcPr>
          <w:p w14:paraId="21CD13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val="en-US" w:eastAsia="zh-CN"/>
              </w:rPr>
              <w:t>按照财政部等11部门《关于继续支持脱贫县统筹整合使用财政涉农资金工作的通知》（</w:t>
            </w:r>
            <w:r>
              <w:rPr>
                <w:rFonts w:hint="eastAsia" w:ascii="Times New Roman" w:hAnsi="Times New Roman" w:eastAsia="方正仿宋_GBK" w:cs="Times New Roman"/>
                <w:sz w:val="21"/>
                <w:szCs w:val="21"/>
                <w:lang w:val="en-US" w:eastAsia="zh-CN"/>
              </w:rPr>
              <w:t>财农</w:t>
            </w:r>
            <w:r>
              <w:rPr>
                <w:rFonts w:hint="default" w:ascii="Times New Roman" w:hAnsi="Times New Roman" w:eastAsia="方正仿宋_GBK" w:cs="Times New Roman"/>
                <w:sz w:val="21"/>
                <w:szCs w:val="21"/>
                <w:lang w:val="en-US" w:eastAsia="zh-CN"/>
              </w:rPr>
              <w:t>〔202</w:t>
            </w: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US" w:eastAsia="zh-CN"/>
              </w:rPr>
              <w:t>〕</w:t>
            </w:r>
            <w:r>
              <w:rPr>
                <w:rFonts w:hint="eastAsia" w:ascii="Times New Roman" w:hAnsi="Times New Roman" w:eastAsia="方正仿宋_GBK" w:cs="Times New Roman"/>
                <w:sz w:val="21"/>
                <w:szCs w:val="21"/>
                <w:lang w:val="en-US" w:eastAsia="zh-CN"/>
              </w:rPr>
              <w:t>22号有关规定执行》</w:t>
            </w:r>
          </w:p>
        </w:tc>
      </w:tr>
      <w:tr w14:paraId="56E7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00" w:type="dxa"/>
            <w:vMerge w:val="continue"/>
            <w:noWrap w:val="0"/>
            <w:vAlign w:val="top"/>
          </w:tcPr>
          <w:p w14:paraId="43786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vMerge w:val="continue"/>
            <w:noWrap w:val="0"/>
            <w:vAlign w:val="top"/>
          </w:tcPr>
          <w:p w14:paraId="6CFC19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68" w:type="dxa"/>
            <w:noWrap w:val="0"/>
            <w:vAlign w:val="top"/>
          </w:tcPr>
          <w:p w14:paraId="594EFA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可持续影响指标</w:t>
            </w:r>
          </w:p>
        </w:tc>
        <w:tc>
          <w:tcPr>
            <w:tcW w:w="3795" w:type="dxa"/>
            <w:gridSpan w:val="3"/>
            <w:noWrap w:val="0"/>
            <w:vAlign w:val="top"/>
          </w:tcPr>
          <w:p w14:paraId="6B3E2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农村危房改造后房屋保持安全期限</w:t>
            </w:r>
          </w:p>
        </w:tc>
        <w:tc>
          <w:tcPr>
            <w:tcW w:w="2744" w:type="dxa"/>
            <w:noWrap w:val="0"/>
            <w:vAlign w:val="top"/>
          </w:tcPr>
          <w:p w14:paraId="5FCF09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拆除重建的</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30年</w:t>
            </w:r>
          </w:p>
          <w:p w14:paraId="506A64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维修加固的</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15年</w:t>
            </w:r>
          </w:p>
        </w:tc>
      </w:tr>
      <w:tr w14:paraId="67D4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00" w:type="dxa"/>
            <w:vMerge w:val="continue"/>
            <w:noWrap w:val="0"/>
            <w:vAlign w:val="top"/>
          </w:tcPr>
          <w:p w14:paraId="33E6C2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p>
        </w:tc>
        <w:tc>
          <w:tcPr>
            <w:tcW w:w="1152" w:type="dxa"/>
            <w:gridSpan w:val="2"/>
            <w:noWrap w:val="0"/>
            <w:vAlign w:val="top"/>
          </w:tcPr>
          <w:p w14:paraId="59A600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368" w:type="dxa"/>
            <w:noWrap w:val="0"/>
            <w:vAlign w:val="top"/>
          </w:tcPr>
          <w:p w14:paraId="08FB99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服务对象满意</w:t>
            </w:r>
            <w:r>
              <w:rPr>
                <w:rFonts w:hint="default" w:ascii="Times New Roman" w:hAnsi="Times New Roman" w:eastAsia="方正仿宋_GBK" w:cs="Times New Roman"/>
                <w:sz w:val="21"/>
                <w:szCs w:val="21"/>
                <w:lang w:val="en-US" w:eastAsia="zh-CN"/>
              </w:rPr>
              <w:t>度</w:t>
            </w:r>
          </w:p>
        </w:tc>
        <w:tc>
          <w:tcPr>
            <w:tcW w:w="3795" w:type="dxa"/>
            <w:gridSpan w:val="3"/>
            <w:noWrap w:val="0"/>
            <w:vAlign w:val="top"/>
          </w:tcPr>
          <w:p w14:paraId="582C6F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受益群众</w:t>
            </w:r>
            <w:r>
              <w:rPr>
                <w:rFonts w:hint="default" w:ascii="Times New Roman" w:hAnsi="Times New Roman" w:eastAsia="方正仿宋_GBK" w:cs="Times New Roman"/>
                <w:sz w:val="21"/>
                <w:szCs w:val="21"/>
              </w:rPr>
              <w:t>满意度</w:t>
            </w:r>
          </w:p>
        </w:tc>
        <w:tc>
          <w:tcPr>
            <w:tcW w:w="2744" w:type="dxa"/>
            <w:noWrap w:val="0"/>
            <w:vAlign w:val="top"/>
          </w:tcPr>
          <w:p w14:paraId="781BE2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30E7A983">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pgSz w:w="11906" w:h="16838"/>
      <w:pgMar w:top="1440" w:right="1797" w:bottom="1440" w:left="179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YWQzNWQxZTFiZDRlNGI3NDRkMzQwMWU2NDIyMDgifQ=="/>
    <w:docVar w:name="DocumentID" w:val="{9405ABAD-C783-4E81-AF23-B35EBB452428}"/>
    <w:docVar w:name="DocumentName" w:val="梁财社〔2022〕121号关于下达 2022 年中央农村危房改造补助资金的通知“01 中央直达资金”"/>
  </w:docVars>
  <w:rsids>
    <w:rsidRoot w:val="00000000"/>
    <w:rsid w:val="00830B3A"/>
    <w:rsid w:val="019C4B69"/>
    <w:rsid w:val="06007873"/>
    <w:rsid w:val="0786416F"/>
    <w:rsid w:val="09745825"/>
    <w:rsid w:val="09E911F1"/>
    <w:rsid w:val="0AE5706E"/>
    <w:rsid w:val="0AE86FD7"/>
    <w:rsid w:val="0B0A6A71"/>
    <w:rsid w:val="0C83624D"/>
    <w:rsid w:val="0D3F0EEB"/>
    <w:rsid w:val="0DBC559A"/>
    <w:rsid w:val="0E2142A1"/>
    <w:rsid w:val="0FCB1CE9"/>
    <w:rsid w:val="102F7315"/>
    <w:rsid w:val="1091445F"/>
    <w:rsid w:val="11FC7480"/>
    <w:rsid w:val="12B67DF9"/>
    <w:rsid w:val="13A6267C"/>
    <w:rsid w:val="148005FB"/>
    <w:rsid w:val="157818E8"/>
    <w:rsid w:val="18763BA5"/>
    <w:rsid w:val="19B16135"/>
    <w:rsid w:val="19CF3670"/>
    <w:rsid w:val="1A1E05BA"/>
    <w:rsid w:val="1A7D6D85"/>
    <w:rsid w:val="1B9D1623"/>
    <w:rsid w:val="1C172982"/>
    <w:rsid w:val="1D815751"/>
    <w:rsid w:val="1D98605C"/>
    <w:rsid w:val="1DD646B6"/>
    <w:rsid w:val="1DEA7DC2"/>
    <w:rsid w:val="1E8F2BC0"/>
    <w:rsid w:val="1EA0242D"/>
    <w:rsid w:val="1EF15C06"/>
    <w:rsid w:val="1FC666FD"/>
    <w:rsid w:val="2108113C"/>
    <w:rsid w:val="227A5B2F"/>
    <w:rsid w:val="22A83ADD"/>
    <w:rsid w:val="2307485F"/>
    <w:rsid w:val="23494274"/>
    <w:rsid w:val="25766390"/>
    <w:rsid w:val="27327F13"/>
    <w:rsid w:val="279D33AE"/>
    <w:rsid w:val="27AC3A14"/>
    <w:rsid w:val="283B2521"/>
    <w:rsid w:val="28AC1ED8"/>
    <w:rsid w:val="29B33A60"/>
    <w:rsid w:val="2B4D5322"/>
    <w:rsid w:val="2C213B0E"/>
    <w:rsid w:val="2DD77014"/>
    <w:rsid w:val="2F10570F"/>
    <w:rsid w:val="2F2819F8"/>
    <w:rsid w:val="315D7DA4"/>
    <w:rsid w:val="317967B1"/>
    <w:rsid w:val="32572CB0"/>
    <w:rsid w:val="32CB2F7B"/>
    <w:rsid w:val="34E51D3A"/>
    <w:rsid w:val="3782629D"/>
    <w:rsid w:val="380657E0"/>
    <w:rsid w:val="3A1145AF"/>
    <w:rsid w:val="3A7C3BF0"/>
    <w:rsid w:val="3B4E47EE"/>
    <w:rsid w:val="3B650222"/>
    <w:rsid w:val="3D1E75A7"/>
    <w:rsid w:val="3F6049B7"/>
    <w:rsid w:val="40C50F64"/>
    <w:rsid w:val="42253A94"/>
    <w:rsid w:val="422B0AC7"/>
    <w:rsid w:val="430D7783"/>
    <w:rsid w:val="43FA3136"/>
    <w:rsid w:val="44D7423A"/>
    <w:rsid w:val="45FF5F18"/>
    <w:rsid w:val="46325C42"/>
    <w:rsid w:val="46AF3BC9"/>
    <w:rsid w:val="47CC6BDA"/>
    <w:rsid w:val="47E257F5"/>
    <w:rsid w:val="49BF0020"/>
    <w:rsid w:val="4A14515D"/>
    <w:rsid w:val="4BE27134"/>
    <w:rsid w:val="4CF1183F"/>
    <w:rsid w:val="4D77008C"/>
    <w:rsid w:val="4D903DD3"/>
    <w:rsid w:val="4DE64F85"/>
    <w:rsid w:val="4E860116"/>
    <w:rsid w:val="4E8C28E4"/>
    <w:rsid w:val="4F0E1D90"/>
    <w:rsid w:val="4FC41F46"/>
    <w:rsid w:val="505209FD"/>
    <w:rsid w:val="523E73BD"/>
    <w:rsid w:val="52BF6F62"/>
    <w:rsid w:val="54FE12AD"/>
    <w:rsid w:val="55BE3C17"/>
    <w:rsid w:val="5620087B"/>
    <w:rsid w:val="58940722"/>
    <w:rsid w:val="5A333888"/>
    <w:rsid w:val="5B2F6498"/>
    <w:rsid w:val="5D625B32"/>
    <w:rsid w:val="5ED66A25"/>
    <w:rsid w:val="5EFE2C46"/>
    <w:rsid w:val="5F3A228A"/>
    <w:rsid w:val="60E11E53"/>
    <w:rsid w:val="61353447"/>
    <w:rsid w:val="62FB3F34"/>
    <w:rsid w:val="64AF6715"/>
    <w:rsid w:val="6633285F"/>
    <w:rsid w:val="6A855C4B"/>
    <w:rsid w:val="6BDF40EE"/>
    <w:rsid w:val="6CB564EF"/>
    <w:rsid w:val="6DD93FE6"/>
    <w:rsid w:val="6E0C4A49"/>
    <w:rsid w:val="6E175BAB"/>
    <w:rsid w:val="719515F5"/>
    <w:rsid w:val="719F2C97"/>
    <w:rsid w:val="73066F61"/>
    <w:rsid w:val="73262C99"/>
    <w:rsid w:val="73663EDE"/>
    <w:rsid w:val="73C2712E"/>
    <w:rsid w:val="75277D66"/>
    <w:rsid w:val="76460B34"/>
    <w:rsid w:val="76514837"/>
    <w:rsid w:val="76B8261D"/>
    <w:rsid w:val="78117866"/>
    <w:rsid w:val="78451356"/>
    <w:rsid w:val="78A94A62"/>
    <w:rsid w:val="7BA30EF9"/>
    <w:rsid w:val="7BD621F0"/>
    <w:rsid w:val="7C6061A4"/>
    <w:rsid w:val="7DB83FEE"/>
    <w:rsid w:val="7E9844CB"/>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b/>
      <w:color w:val="000000"/>
      <w:sz w:val="20"/>
      <w:szCs w:val="20"/>
      <w:u w:val="none"/>
    </w:rPr>
  </w:style>
  <w:style w:type="character" w:customStyle="1" w:styleId="10">
    <w:name w:val="font41"/>
    <w:basedOn w:val="5"/>
    <w:qFormat/>
    <w:uiPriority w:val="0"/>
    <w:rPr>
      <w:rFonts w:hint="default" w:ascii="Times New Roman" w:hAnsi="Times New Roman" w:eastAsia="宋体" w:cs="Times New Roman"/>
      <w:color w:val="000000"/>
      <w:sz w:val="22"/>
      <w:szCs w:val="22"/>
      <w:u w:val="none"/>
    </w:rPr>
  </w:style>
  <w:style w:type="character" w:customStyle="1" w:styleId="11">
    <w:name w:val="font7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2022-06-21T08:35:00Z</cp:lastPrinted>
  <dcterms:modified xsi:type="dcterms:W3CDTF">2025-08-05T03:00:30Z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7924C3CD9C864E679D755CE203FC260C_12</vt:lpwstr>
  </property>
</Properties>
</file>