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jc w:val="center"/>
        <w:rPr>
          <w:rFonts w:ascii="仿宋_GB2312"/>
          <w:sz w:val="32"/>
          <w:szCs w:val="32"/>
        </w:rPr>
      </w:pPr>
      <w:r>
        <w:rPr>
          <w:rFonts w:ascii="仿宋_GB2312"/>
          <w:sz w:val="32"/>
          <w:szCs w:val="32"/>
        </w:rPr>
        <w:t>梁财建</w:t>
      </w:r>
      <w:r>
        <w:rPr>
          <w:rFonts w:ascii="仿宋_GB2312" w:hAnsi="仿宋_GB2312"/>
          <w:sz w:val="32"/>
          <w:szCs w:val="32"/>
        </w:rPr>
        <w:t>〔</w:t>
      </w:r>
      <w:r>
        <w:rPr>
          <w:rFonts w:ascii="仿宋_GB2312"/>
          <w:sz w:val="32"/>
          <w:szCs w:val="32"/>
        </w:rPr>
        <w:t>2018</w:t>
      </w:r>
      <w:r>
        <w:rPr>
          <w:rFonts w:ascii="仿宋_GB2312" w:hAnsi="仿宋_GB2312"/>
          <w:sz w:val="32"/>
          <w:szCs w:val="32"/>
        </w:rPr>
        <w:t>〕72</w:t>
      </w:r>
      <w:r>
        <w:rPr>
          <w:rFonts w:ascii="仿宋_GB2312"/>
          <w:sz w:val="32"/>
          <w:szCs w:val="32"/>
        </w:rPr>
        <w:t>号</w:t>
      </w:r>
    </w:p>
    <w:p>
      <w:pPr>
        <w:pStyle w:val="9"/>
        <w:pageBreakBefore w:val="0"/>
        <w:spacing w:line="560" w:lineRule="exact"/>
        <w:ind w:left="0" w:right="0" w:firstLine="441"/>
        <w:jc w:val="center"/>
        <w:rPr>
          <w:rFonts w:ascii="黑体"/>
          <w:sz w:val="44"/>
          <w:szCs w:val="44"/>
        </w:rPr>
      </w:pPr>
    </w:p>
    <w:p>
      <w:pPr>
        <w:pStyle w:val="9"/>
        <w:pageBreakBefore w:val="0"/>
        <w:spacing w:line="560" w:lineRule="exact"/>
        <w:ind w:left="0" w:right="0" w:firstLine="0"/>
        <w:jc w:val="center"/>
        <w:rPr>
          <w:rFonts w:ascii="方正小标宋简体" w:hAnsi="方正小标宋简体"/>
          <w:sz w:val="44"/>
          <w:szCs w:val="44"/>
        </w:rPr>
      </w:pPr>
      <w:r>
        <w:rPr>
          <w:rFonts w:ascii="方正小标宋简体" w:hAnsi="方正小标宋简体"/>
          <w:sz w:val="44"/>
          <w:szCs w:val="44"/>
        </w:rPr>
        <w:t>梁河县财政局关于下达2017年中央及省级土地整治（高标准农田建设）补助资金的通知</w:t>
      </w:r>
    </w:p>
    <w:p>
      <w:pPr>
        <w:pStyle w:val="9"/>
        <w:pageBreakBefore w:val="0"/>
        <w:spacing w:line="560" w:lineRule="exact"/>
        <w:ind w:left="0" w:right="0" w:firstLine="0"/>
        <w:jc w:val="center"/>
        <w:rPr>
          <w:rFonts w:ascii="仿宋_GB2312" w:hAnsi="仿宋_GB2312"/>
          <w:sz w:val="44"/>
          <w:szCs w:val="44"/>
        </w:rPr>
      </w:pPr>
    </w:p>
    <w:p>
      <w:pPr>
        <w:pStyle w:val="9"/>
        <w:pageBreakBefore w:val="0"/>
        <w:spacing w:line="520" w:lineRule="exact"/>
        <w:ind w:left="0" w:right="0" w:firstLine="0"/>
        <w:jc w:val="both"/>
        <w:rPr>
          <w:rFonts w:ascii="仿宋_GB2312" w:hAnsi="仿宋_GB2312"/>
          <w:sz w:val="32"/>
        </w:rPr>
      </w:pPr>
      <w:r>
        <w:rPr>
          <w:rFonts w:ascii="仿宋_GB2312" w:hAnsi="仿宋_GB2312"/>
          <w:sz w:val="32"/>
        </w:rPr>
        <w:t>梁河县国土资源局：</w:t>
      </w:r>
    </w:p>
    <w:p>
      <w:pPr>
        <w:pStyle w:val="9"/>
        <w:pageBreakBefore w:val="0"/>
        <w:spacing w:line="520" w:lineRule="exact"/>
        <w:ind w:left="0" w:right="0" w:firstLine="640"/>
        <w:jc w:val="both"/>
        <w:rPr>
          <w:rFonts w:ascii="仿宋_GB2312" w:hAnsi="仿宋_GB2312"/>
          <w:sz w:val="32"/>
        </w:rPr>
      </w:pPr>
      <w:r>
        <w:rPr>
          <w:rFonts w:ascii="仿宋_GB2312" w:hAnsi="仿宋_GB2312"/>
          <w:sz w:val="32"/>
        </w:rPr>
        <w:t>根据《</w:t>
      </w:r>
      <w:r>
        <w:rPr>
          <w:rFonts w:ascii="仿宋_GB2312"/>
          <w:sz w:val="32"/>
          <w:szCs w:val="32"/>
        </w:rPr>
        <w:t>德宏州财政局 德宏州国土资源局关于下达2017年中央及省级土地整治（高标准农田建设）补助资金的通知</w:t>
      </w:r>
      <w:r>
        <w:rPr>
          <w:rFonts w:ascii="仿宋_GB2312" w:hAnsi="仿宋_GB2312"/>
          <w:sz w:val="32"/>
        </w:rPr>
        <w:t>》（德财建[2018]10号）文件，现下达2017年</w:t>
      </w:r>
      <w:r>
        <w:rPr>
          <w:rFonts w:ascii="仿宋_GB2312"/>
          <w:sz w:val="32"/>
          <w:szCs w:val="32"/>
        </w:rPr>
        <w:t>中央和省级土地整治（高标准农田）项目补助资金360万元。此款</w:t>
      </w:r>
      <w:r>
        <w:rPr>
          <w:rFonts w:ascii="仿宋_GB2312" w:hAnsi="仿宋_GB2312"/>
          <w:sz w:val="32"/>
        </w:rPr>
        <w:t>列入2018年“2200110国土整治”预算科目和“503-机关资本性支出”政府预算支出经济分类科目，并将有关要求通知如下：</w:t>
      </w:r>
    </w:p>
    <w:p>
      <w:pPr>
        <w:pStyle w:val="9"/>
        <w:pageBreakBefore w:val="0"/>
        <w:spacing w:line="520" w:lineRule="exact"/>
        <w:ind w:left="0" w:right="0" w:firstLine="640"/>
        <w:jc w:val="both"/>
        <w:rPr>
          <w:rFonts w:ascii="仿宋_GB2312" w:hAnsi="仿宋_GB2312"/>
          <w:sz w:val="32"/>
        </w:rPr>
      </w:pPr>
      <w:r>
        <w:rPr>
          <w:rFonts w:ascii="仿宋_GB2312" w:hAnsi="仿宋_GB2312"/>
          <w:sz w:val="32"/>
        </w:rPr>
        <w:t>一、按照国务院办公厅印发《关于支持贫困县开展统筹整合使用财政涉农资金试点的意见》（国办发[2016]22号）和《省委办公厅、省政府办公厅印发的贫困县统筹整合使用涉农资金试点方案》（云厅字[2016]20号）要求，中央和省级土地整治（高标准农田建设）补助资金纳入统筹整合使用范围。对于全省88个开展统筹整合使用财政涉农资金的贫困县（市、区），此次土地整治（高标准农田建设）补助资金采用因素法方式下达至县市财政局，请加强与同级国土部门的沟通衔接，确保任务、目标、资金、权责四到县。切实加快预算执行，加强资金监管，确保建设取得实效，提高资金使用效益。</w:t>
      </w:r>
    </w:p>
    <w:p>
      <w:pPr>
        <w:pStyle w:val="9"/>
        <w:pageBreakBefore w:val="0"/>
        <w:spacing w:line="520" w:lineRule="exact"/>
        <w:ind w:left="0" w:right="0" w:firstLine="640"/>
        <w:jc w:val="both"/>
        <w:rPr>
          <w:rFonts w:ascii="仿宋_GB2312" w:hAnsi="仿宋_GB2312"/>
          <w:sz w:val="32"/>
        </w:rPr>
      </w:pPr>
      <w:r>
        <w:rPr>
          <w:rFonts w:ascii="仿宋_GB2312" w:hAnsi="仿宋_GB2312"/>
          <w:sz w:val="32"/>
        </w:rPr>
        <w:t>二、按照预算绩效管理要求，本次将项目绩效目标一并下达各地，请切实加强预算绩效管理，做好绩效目标考核工作，确保绩效目标如期实现，各地绩效目标完成情况将作为以后年度测算分配补助资金的重要依据。</w:t>
      </w:r>
    </w:p>
    <w:p>
      <w:pPr>
        <w:pStyle w:val="9"/>
        <w:pageBreakBefore w:val="0"/>
        <w:spacing w:line="700" w:lineRule="exact"/>
        <w:ind w:left="0" w:right="0" w:firstLine="640"/>
        <w:rPr>
          <w:rFonts w:ascii="仿宋_GB2312" w:hAnsi="仿宋_GB2312"/>
          <w:sz w:val="32"/>
        </w:rPr>
      </w:pPr>
    </w:p>
    <w:p>
      <w:pPr>
        <w:pStyle w:val="9"/>
        <w:pageBreakBefore w:val="0"/>
        <w:spacing w:line="700" w:lineRule="exact"/>
        <w:ind w:right="0" w:firstLine="642"/>
        <w:rPr>
          <w:rFonts w:ascii="仿宋_GB2312" w:hAnsi="仿宋_GB2312"/>
          <w:sz w:val="32"/>
        </w:rPr>
      </w:pPr>
      <w:r>
        <w:rPr>
          <w:rFonts w:ascii="仿宋_GB2312" w:hAnsi="仿宋_GB2312"/>
          <w:sz w:val="32"/>
        </w:rPr>
        <w:t>附件：1、2017年中央及省级土地整治（高标准农田建设）</w:t>
      </w:r>
    </w:p>
    <w:p>
      <w:pPr>
        <w:pStyle w:val="9"/>
        <w:pageBreakBefore w:val="0"/>
        <w:spacing w:line="700" w:lineRule="exact"/>
        <w:ind w:right="0" w:firstLine="1660" w:firstLineChars="519"/>
        <w:rPr>
          <w:rFonts w:ascii="仿宋_GB2312" w:hAnsi="仿宋_GB2312"/>
          <w:sz w:val="32"/>
        </w:rPr>
      </w:pPr>
      <w:r>
        <w:rPr>
          <w:rFonts w:ascii="仿宋_GB2312" w:hAnsi="仿宋_GB2312"/>
          <w:sz w:val="32"/>
        </w:rPr>
        <w:t>专项资金预算明细表</w:t>
      </w:r>
    </w:p>
    <w:p>
      <w:pPr>
        <w:pStyle w:val="9"/>
        <w:pageBreakBefore w:val="0"/>
        <w:spacing w:line="700" w:lineRule="exact"/>
        <w:ind w:left="0" w:right="0" w:firstLine="1614"/>
        <w:rPr>
          <w:rFonts w:ascii="仿宋_GB2312" w:hAnsi="仿宋_GB2312"/>
          <w:sz w:val="32"/>
        </w:rPr>
      </w:pPr>
      <w:r>
        <w:rPr>
          <w:rFonts w:ascii="仿宋_GB2312" w:hAnsi="仿宋_GB2312"/>
          <w:sz w:val="32"/>
        </w:rPr>
        <w:t>2、2017年中央及省级土地整治项目资金绩效目标表</w:t>
      </w:r>
    </w:p>
    <w:p>
      <w:pPr>
        <w:pStyle w:val="9"/>
        <w:spacing w:line="600" w:lineRule="exact"/>
        <w:ind w:firstLine="0"/>
        <w:rPr>
          <w:rFonts w:ascii="仿宋_GB2312" w:hAnsi="仿宋_GB2312"/>
          <w:sz w:val="32"/>
        </w:rPr>
      </w:pPr>
      <w:r>
        <w:rPr>
          <w:rFonts w:ascii="仿宋_GB2312" w:hAnsi="仿宋_GB2312"/>
          <w:sz w:val="32"/>
        </w:rPr>
        <w:t xml:space="preserve">            </w:t>
      </w:r>
    </w:p>
    <w:p>
      <w:pPr>
        <w:pStyle w:val="9"/>
        <w:spacing w:line="600" w:lineRule="exact"/>
        <w:jc w:val="center"/>
        <w:rPr>
          <w:sz w:val="32"/>
          <w:szCs w:val="32"/>
        </w:rPr>
      </w:pPr>
    </w:p>
    <w:p>
      <w:pPr>
        <w:pStyle w:val="9"/>
        <w:spacing w:line="600" w:lineRule="exact"/>
        <w:jc w:val="center"/>
        <w:rPr>
          <w:sz w:val="32"/>
          <w:szCs w:val="32"/>
        </w:rPr>
      </w:pPr>
      <w:r>
        <w:rPr>
          <w:sz w:val="32"/>
          <w:szCs w:val="32"/>
        </w:rPr>
        <w:t xml:space="preserve"> </w:t>
      </w:r>
    </w:p>
    <w:p>
      <w:pPr>
        <w:pStyle w:val="9"/>
        <w:spacing w:line="600" w:lineRule="exact"/>
        <w:jc w:val="center"/>
        <w:rPr>
          <w:rFonts w:ascii="仿宋_GB2312" w:hAnsi="仿宋_GB2312"/>
          <w:sz w:val="32"/>
          <w:szCs w:val="32"/>
        </w:rPr>
      </w:pPr>
      <w:r>
        <w:rPr>
          <w:rFonts w:ascii="仿宋_GB2312" w:hAnsi="仿宋_GB2312"/>
          <w:sz w:val="32"/>
          <w:szCs w:val="32"/>
        </w:rPr>
        <w:t xml:space="preserve">                      梁河县财政局</w:t>
      </w:r>
    </w:p>
    <w:p>
      <w:pPr>
        <w:pStyle w:val="9"/>
        <w:spacing w:line="600" w:lineRule="exact"/>
        <w:jc w:val="center"/>
        <w:rPr>
          <w:rFonts w:ascii="仿宋_GB2312" w:hAnsi="仿宋_GB2312"/>
          <w:sz w:val="32"/>
          <w:szCs w:val="32"/>
        </w:rPr>
      </w:pPr>
      <w:r>
        <w:rPr>
          <w:rFonts w:ascii="仿宋_GB2312" w:hAnsi="仿宋_GB2312"/>
          <w:sz w:val="32"/>
          <w:szCs w:val="32"/>
        </w:rPr>
        <w:t xml:space="preserve">                      2018年3月16日</w:t>
      </w:r>
    </w:p>
    <w:p>
      <w:pPr>
        <w:pStyle w:val="9"/>
        <w:spacing w:line="600" w:lineRule="exact"/>
        <w:jc w:val="center"/>
        <w:rPr>
          <w:rFonts w:ascii="仿宋_GB2312" w:hAnsi="仿宋_GB2312"/>
          <w:sz w:val="32"/>
          <w:szCs w:val="32"/>
        </w:rPr>
      </w:pPr>
    </w:p>
    <w:p>
      <w:pPr>
        <w:pStyle w:val="9"/>
        <w:pageBreakBefore w:val="0"/>
        <w:spacing w:line="600" w:lineRule="exact"/>
        <w:ind w:right="0"/>
        <w:jc w:val="center"/>
        <w:rPr>
          <w:rFonts w:ascii="仿宋_GB2312" w:hAnsi="仿宋_GB2312"/>
          <w:b/>
          <w:sz w:val="36"/>
          <w:szCs w:val="36"/>
        </w:rPr>
      </w:pPr>
    </w:p>
    <w:p>
      <w:pPr>
        <w:pStyle w:val="9"/>
        <w:pageBreakBefore w:val="0"/>
        <w:spacing w:line="600" w:lineRule="exact"/>
        <w:ind w:right="0"/>
        <w:jc w:val="center"/>
        <w:rPr>
          <w:rFonts w:ascii="仿宋_GB2312" w:hAnsi="仿宋_GB2312"/>
          <w:b/>
          <w:sz w:val="36"/>
          <w:szCs w:val="36"/>
        </w:rPr>
      </w:pPr>
    </w:p>
    <w:p>
      <w:pPr>
        <w:pStyle w:val="9"/>
        <w:pageBreakBefore w:val="0"/>
        <w:spacing w:line="600" w:lineRule="exact"/>
        <w:ind w:right="0"/>
        <w:jc w:val="center"/>
        <w:rPr>
          <w:rFonts w:ascii="仿宋_GB2312" w:hAnsi="仿宋_GB2312"/>
          <w:b/>
          <w:sz w:val="36"/>
          <w:szCs w:val="36"/>
        </w:rPr>
      </w:pPr>
    </w:p>
    <w:p>
      <w:pPr>
        <w:pStyle w:val="9"/>
        <w:pageBreakBefore w:val="0"/>
        <w:spacing w:line="600" w:lineRule="exact"/>
        <w:ind w:right="0"/>
        <w:jc w:val="center"/>
        <w:rPr>
          <w:rFonts w:ascii="仿宋_GB2312" w:hAnsi="仿宋_GB2312"/>
          <w:b/>
          <w:sz w:val="36"/>
          <w:szCs w:val="36"/>
        </w:rPr>
      </w:pPr>
    </w:p>
    <w:p>
      <w:pPr>
        <w:pStyle w:val="9"/>
        <w:pageBreakBefore w:val="0"/>
        <w:spacing w:line="600" w:lineRule="exact"/>
        <w:ind w:right="0"/>
        <w:jc w:val="center"/>
        <w:rPr>
          <w:rFonts w:ascii="仿宋_GB2312" w:hAnsi="仿宋_GB2312"/>
          <w:b/>
          <w:sz w:val="36"/>
          <w:szCs w:val="36"/>
        </w:rPr>
      </w:pPr>
    </w:p>
    <w:p>
      <w:pPr>
        <w:pStyle w:val="9"/>
        <w:pageBreakBefore w:val="0"/>
        <w:spacing w:line="600" w:lineRule="exact"/>
        <w:ind w:right="0"/>
        <w:jc w:val="center"/>
        <w:rPr>
          <w:rFonts w:ascii="仿宋_GB2312" w:hAnsi="仿宋_GB2312"/>
          <w:b/>
          <w:sz w:val="36"/>
          <w:szCs w:val="36"/>
        </w:rPr>
      </w:pPr>
    </w:p>
    <w:p>
      <w:pPr>
        <w:pStyle w:val="9"/>
        <w:pageBreakBefore w:val="0"/>
        <w:spacing w:line="600" w:lineRule="exact"/>
        <w:ind w:right="0"/>
        <w:jc w:val="center"/>
        <w:rPr>
          <w:rFonts w:ascii="仿宋_GB2312" w:hAnsi="仿宋_GB2312"/>
          <w:b/>
          <w:sz w:val="36"/>
          <w:szCs w:val="36"/>
        </w:rPr>
      </w:pPr>
    </w:p>
    <w:p>
      <w:pPr>
        <w:pStyle w:val="9"/>
        <w:pageBreakBefore w:val="0"/>
        <w:spacing w:line="600" w:lineRule="exact"/>
        <w:ind w:right="0"/>
        <w:jc w:val="center"/>
        <w:rPr>
          <w:rFonts w:ascii="仿宋_GB2312" w:hAnsi="仿宋_GB2312"/>
          <w:b/>
          <w:sz w:val="36"/>
          <w:szCs w:val="36"/>
        </w:rPr>
      </w:pPr>
      <w:bookmarkStart w:id="0" w:name="_GoBack"/>
      <w:bookmarkEnd w:id="0"/>
      <w:r>
        <w:rPr>
          <w:rFonts w:ascii="仿宋_GB2312" w:hAnsi="仿宋_GB2312"/>
          <w:b/>
          <w:sz w:val="36"/>
          <w:szCs w:val="36"/>
        </w:rPr>
        <w:t>2017年中央及省级土地整治（高标准农田建设）</w:t>
      </w:r>
    </w:p>
    <w:p>
      <w:pPr>
        <w:pStyle w:val="9"/>
        <w:pageBreakBefore w:val="0"/>
        <w:spacing w:line="600" w:lineRule="exact"/>
        <w:ind w:right="0"/>
        <w:jc w:val="center"/>
        <w:rPr>
          <w:rFonts w:ascii="仿宋_GB2312" w:hAnsi="仿宋_GB2312"/>
          <w:b/>
          <w:sz w:val="36"/>
          <w:szCs w:val="36"/>
        </w:rPr>
      </w:pPr>
      <w:r>
        <w:rPr>
          <w:rFonts w:ascii="仿宋_GB2312" w:hAnsi="仿宋_GB2312"/>
          <w:b/>
          <w:sz w:val="36"/>
          <w:szCs w:val="36"/>
        </w:rPr>
        <w:t>专项资金预算明细表</w:t>
      </w:r>
    </w:p>
    <w:tbl>
      <w:tblPr>
        <w:tblStyle w:val="8"/>
        <w:tblW w:w="84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55"/>
        <w:gridCol w:w="1244"/>
        <w:gridCol w:w="1607"/>
        <w:gridCol w:w="1216"/>
        <w:gridCol w:w="2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854" w:type="dxa"/>
            <w:vMerge w:val="restart"/>
            <w:vAlign w:val="center"/>
          </w:tcPr>
          <w:p>
            <w:pPr>
              <w:pStyle w:val="9"/>
              <w:jc w:val="center"/>
            </w:pPr>
            <w:r>
              <w:rPr>
                <w:rFonts w:ascii="仿宋_GB2312"/>
                <w:sz w:val="28"/>
                <w:szCs w:val="28"/>
              </w:rPr>
              <w:t>序号</w:t>
            </w:r>
          </w:p>
        </w:tc>
        <w:tc>
          <w:tcPr>
            <w:tcW w:w="1355" w:type="dxa"/>
            <w:vMerge w:val="restart"/>
            <w:vAlign w:val="center"/>
          </w:tcPr>
          <w:p>
            <w:pPr>
              <w:pStyle w:val="9"/>
              <w:jc w:val="center"/>
            </w:pPr>
            <w:r>
              <w:rPr>
                <w:rFonts w:ascii="仿宋_GB2312"/>
                <w:sz w:val="28"/>
                <w:szCs w:val="28"/>
              </w:rPr>
              <w:t>县市</w:t>
            </w:r>
          </w:p>
        </w:tc>
        <w:tc>
          <w:tcPr>
            <w:tcW w:w="1244" w:type="dxa"/>
            <w:vMerge w:val="restart"/>
            <w:vAlign w:val="center"/>
          </w:tcPr>
          <w:p>
            <w:pPr>
              <w:pStyle w:val="9"/>
              <w:jc w:val="center"/>
            </w:pPr>
            <w:r>
              <w:rPr>
                <w:rFonts w:ascii="仿宋_GB2312"/>
                <w:sz w:val="28"/>
                <w:szCs w:val="28"/>
              </w:rPr>
              <w:t>预计建设任务</w:t>
            </w:r>
          </w:p>
        </w:tc>
        <w:tc>
          <w:tcPr>
            <w:tcW w:w="4967" w:type="dxa"/>
            <w:gridSpan w:val="3"/>
            <w:vAlign w:val="center"/>
          </w:tcPr>
          <w:p>
            <w:pPr>
              <w:pStyle w:val="9"/>
              <w:jc w:val="center"/>
            </w:pPr>
            <w:r>
              <w:rPr>
                <w:rFonts w:ascii="仿宋_GB2312"/>
                <w:sz w:val="28"/>
                <w:szCs w:val="28"/>
              </w:rPr>
              <w:t>下达金额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2" w:hRule="atLeast"/>
          <w:jc w:val="center"/>
        </w:trPr>
        <w:tc>
          <w:tcPr>
            <w:tcW w:w="854" w:type="dxa"/>
            <w:vMerge w:val="continue"/>
          </w:tcPr>
          <w:p>
            <w:pPr>
              <w:pStyle w:val="9"/>
            </w:pPr>
          </w:p>
        </w:tc>
        <w:tc>
          <w:tcPr>
            <w:tcW w:w="1355" w:type="dxa"/>
            <w:vMerge w:val="continue"/>
          </w:tcPr>
          <w:p>
            <w:pPr>
              <w:pStyle w:val="9"/>
            </w:pPr>
          </w:p>
        </w:tc>
        <w:tc>
          <w:tcPr>
            <w:tcW w:w="1244" w:type="dxa"/>
            <w:vMerge w:val="continue"/>
          </w:tcPr>
          <w:p>
            <w:pPr>
              <w:pStyle w:val="9"/>
            </w:pPr>
          </w:p>
        </w:tc>
        <w:tc>
          <w:tcPr>
            <w:tcW w:w="1607" w:type="dxa"/>
            <w:vAlign w:val="center"/>
          </w:tcPr>
          <w:p>
            <w:pPr>
              <w:pStyle w:val="9"/>
              <w:jc w:val="center"/>
            </w:pPr>
            <w:r>
              <w:rPr>
                <w:rFonts w:ascii="仿宋_GB2312"/>
                <w:sz w:val="28"/>
                <w:szCs w:val="28"/>
              </w:rPr>
              <w:t>小计</w:t>
            </w:r>
          </w:p>
        </w:tc>
        <w:tc>
          <w:tcPr>
            <w:tcW w:w="1216" w:type="dxa"/>
            <w:vAlign w:val="center"/>
          </w:tcPr>
          <w:p>
            <w:pPr>
              <w:pStyle w:val="9"/>
              <w:jc w:val="center"/>
            </w:pPr>
            <w:r>
              <w:rPr>
                <w:rFonts w:ascii="仿宋_GB2312"/>
                <w:sz w:val="28"/>
                <w:szCs w:val="28"/>
              </w:rPr>
              <w:t>中央补助资金</w:t>
            </w:r>
          </w:p>
        </w:tc>
        <w:tc>
          <w:tcPr>
            <w:tcW w:w="2144" w:type="dxa"/>
            <w:vAlign w:val="center"/>
          </w:tcPr>
          <w:p>
            <w:pPr>
              <w:pStyle w:val="9"/>
              <w:jc w:val="center"/>
            </w:pPr>
            <w:r>
              <w:rPr>
                <w:rFonts w:ascii="仿宋_GB2312"/>
                <w:sz w:val="28"/>
                <w:szCs w:val="28"/>
              </w:rPr>
              <w:t>省级补助资金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854" w:type="dxa"/>
            <w:vAlign w:val="center"/>
          </w:tcPr>
          <w:p>
            <w:pPr>
              <w:pStyle w:val="9"/>
              <w:jc w:val="center"/>
            </w:pPr>
            <w:r>
              <w:rPr>
                <w:rFonts w:ascii="仿宋_GB2312"/>
                <w:sz w:val="28"/>
                <w:szCs w:val="28"/>
              </w:rPr>
              <w:t>1</w:t>
            </w:r>
          </w:p>
        </w:tc>
        <w:tc>
          <w:tcPr>
            <w:tcW w:w="1355" w:type="dxa"/>
            <w:vAlign w:val="center"/>
          </w:tcPr>
          <w:p>
            <w:pPr>
              <w:pStyle w:val="9"/>
              <w:jc w:val="center"/>
            </w:pPr>
            <w:r>
              <w:rPr>
                <w:rFonts w:ascii="仿宋_GB2312"/>
                <w:sz w:val="28"/>
                <w:szCs w:val="28"/>
              </w:rPr>
              <w:t>梁河县</w:t>
            </w:r>
          </w:p>
        </w:tc>
        <w:tc>
          <w:tcPr>
            <w:tcW w:w="1244" w:type="dxa"/>
            <w:vAlign w:val="center"/>
          </w:tcPr>
          <w:p>
            <w:pPr>
              <w:pStyle w:val="9"/>
              <w:jc w:val="center"/>
            </w:pPr>
            <w:r>
              <w:rPr>
                <w:rFonts w:ascii="仿宋_GB2312"/>
                <w:sz w:val="28"/>
                <w:szCs w:val="28"/>
              </w:rPr>
              <w:t>4500</w:t>
            </w:r>
          </w:p>
        </w:tc>
        <w:tc>
          <w:tcPr>
            <w:tcW w:w="1607" w:type="dxa"/>
            <w:vAlign w:val="center"/>
          </w:tcPr>
          <w:p>
            <w:pPr>
              <w:pStyle w:val="9"/>
              <w:jc w:val="center"/>
            </w:pPr>
            <w:r>
              <w:rPr>
                <w:rFonts w:ascii="仿宋_GB2312"/>
                <w:sz w:val="28"/>
                <w:szCs w:val="28"/>
              </w:rPr>
              <w:t>360</w:t>
            </w:r>
          </w:p>
        </w:tc>
        <w:tc>
          <w:tcPr>
            <w:tcW w:w="1216" w:type="dxa"/>
            <w:vAlign w:val="center"/>
          </w:tcPr>
          <w:p>
            <w:pPr>
              <w:pStyle w:val="9"/>
              <w:jc w:val="center"/>
            </w:pPr>
          </w:p>
        </w:tc>
        <w:tc>
          <w:tcPr>
            <w:tcW w:w="2144" w:type="dxa"/>
            <w:vAlign w:val="center"/>
          </w:tcPr>
          <w:p>
            <w:pPr>
              <w:pStyle w:val="9"/>
              <w:jc w:val="center"/>
            </w:pPr>
            <w:r>
              <w:rPr>
                <w:rFonts w:ascii="仿宋_GB2312"/>
                <w:sz w:val="28"/>
                <w:szCs w:val="28"/>
              </w:rP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jc w:val="center"/>
        </w:trPr>
        <w:tc>
          <w:tcPr>
            <w:tcW w:w="854" w:type="dxa"/>
            <w:vAlign w:val="center"/>
          </w:tcPr>
          <w:p>
            <w:pPr>
              <w:pStyle w:val="9"/>
              <w:jc w:val="center"/>
            </w:pPr>
            <w:r>
              <w:rPr>
                <w:rFonts w:ascii="仿宋_GB2312"/>
                <w:sz w:val="28"/>
                <w:szCs w:val="28"/>
              </w:rPr>
              <w:t>合计</w:t>
            </w:r>
          </w:p>
        </w:tc>
        <w:tc>
          <w:tcPr>
            <w:tcW w:w="1355" w:type="dxa"/>
            <w:vAlign w:val="center"/>
          </w:tcPr>
          <w:p>
            <w:pPr>
              <w:pStyle w:val="9"/>
              <w:jc w:val="center"/>
            </w:pPr>
            <w:r>
              <w:rPr>
                <w:rFonts w:ascii="仿宋_GB2312"/>
                <w:sz w:val="28"/>
                <w:szCs w:val="28"/>
              </w:rPr>
              <w:t xml:space="preserve"> </w:t>
            </w:r>
          </w:p>
        </w:tc>
        <w:tc>
          <w:tcPr>
            <w:tcW w:w="1244" w:type="dxa"/>
            <w:vAlign w:val="center"/>
          </w:tcPr>
          <w:p>
            <w:pPr>
              <w:pStyle w:val="9"/>
              <w:jc w:val="center"/>
            </w:pPr>
            <w:r>
              <w:rPr>
                <w:rFonts w:ascii="仿宋_GB2312"/>
                <w:sz w:val="28"/>
                <w:szCs w:val="28"/>
              </w:rPr>
              <w:t>4500</w:t>
            </w:r>
          </w:p>
        </w:tc>
        <w:tc>
          <w:tcPr>
            <w:tcW w:w="1607" w:type="dxa"/>
            <w:vAlign w:val="center"/>
          </w:tcPr>
          <w:p>
            <w:pPr>
              <w:pStyle w:val="9"/>
              <w:jc w:val="center"/>
            </w:pPr>
            <w:r>
              <w:rPr>
                <w:rFonts w:ascii="仿宋_GB2312"/>
                <w:sz w:val="28"/>
                <w:szCs w:val="28"/>
              </w:rPr>
              <w:t>360</w:t>
            </w:r>
          </w:p>
        </w:tc>
        <w:tc>
          <w:tcPr>
            <w:tcW w:w="1216" w:type="dxa"/>
            <w:vAlign w:val="center"/>
          </w:tcPr>
          <w:p>
            <w:pPr>
              <w:pStyle w:val="9"/>
              <w:jc w:val="center"/>
            </w:pPr>
          </w:p>
        </w:tc>
        <w:tc>
          <w:tcPr>
            <w:tcW w:w="2144" w:type="dxa"/>
            <w:vAlign w:val="center"/>
          </w:tcPr>
          <w:p>
            <w:pPr>
              <w:pStyle w:val="9"/>
              <w:jc w:val="center"/>
            </w:pPr>
            <w:r>
              <w:rPr>
                <w:rFonts w:ascii="仿宋_GB2312"/>
                <w:sz w:val="28"/>
                <w:szCs w:val="28"/>
              </w:rPr>
              <w:t>360</w:t>
            </w:r>
          </w:p>
        </w:tc>
      </w:tr>
    </w:tbl>
    <w:p>
      <w:pPr>
        <w:pStyle w:val="9"/>
        <w:spacing w:line="600" w:lineRule="exact"/>
        <w:ind w:firstLine="642"/>
        <w:jc w:val="both"/>
      </w:pPr>
      <w:r>
        <w:rPr>
          <w:rFonts w:ascii="仿宋_GB2312"/>
          <w:sz w:val="32"/>
          <w:szCs w:val="32"/>
        </w:rPr>
        <w:t xml:space="preserve"> </w:t>
      </w:r>
    </w:p>
    <w:sectPr>
      <w:footerReference r:id="rId3" w:type="default"/>
      <w:pgSz w:w="11906" w:h="16838"/>
      <w:pgMar w:top="2098" w:right="1474" w:bottom="1984" w:left="1531" w:header="720" w:footer="720" w:gutter="0"/>
      <w:pgNumType w:fmt="arabicAlph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7F5265D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rPr>
  </w:style>
  <w:style w:type="paragraph" w:styleId="2">
    <w:name w:val="heading 1"/>
    <w:basedOn w:val="1"/>
    <w:next w:val="1"/>
    <w:qFormat/>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Times New Roman" w:hAns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rPr>
      <w:rFonts w:ascii="Times New Roman" w:hAnsi="Times New Roman"/>
    </w:rPr>
  </w:style>
  <w:style w:type="paragraph" w:customStyle="1" w:styleId="13">
    <w:name w:val="页脚1"/>
    <w:qFormat/>
    <w:uiPriority w:val="0"/>
    <w:pPr>
      <w:jc w:val="left"/>
    </w:pPr>
    <w:rPr>
      <w:rFonts w:ascii="Calibri"/>
      <w:sz w:val="18"/>
      <w:szCs w:val="18"/>
    </w:rPr>
  </w:style>
  <w:style w:type="table" w:customStyle="1" w:styleId="14">
    <w:name w:val="网格型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2025-08-05T07:09:30Z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