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_GBK"/>
          <w:sz w:val="32"/>
          <w:szCs w:val="32"/>
        </w:rPr>
      </w:pPr>
      <w:r>
        <w:rPr>
          <w:sz w:val="32"/>
        </w:rPr>
        <w:pict>
          <v:rect id="KGD_Gobal1" o:spid="_x0000_s1027" o:spt="1" alt="lskY7P30+39SSS2ze3CC/PQIG5OvuzdsRyMg69lHjZV90uUVEYGT27yAGizYeJJW9EQfMdNT3EDvsZngL6iDAEh+PmGZcW4YeP/sa6/aAFo4yKhQdVRJ8kTVukVzd12StwwdmIPlz3AY0vAY20mEkihOY6SsCk7/gTz/uny/YNkg/RUxK4ZM2dz3Co67JeucypnLCOnhsNnpun+m3Vr8Uu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UozKckcZ3meNW52YR4k3UpaYY61gYZkgBlX9HGcw0EUlU0nWEMYm49VlCcRL4JYhO2pjA5b0okRAaCjwpU9yOdFrHkQ3PjuCdiDsUT9e4cQR8Pkh58K0JPjskjejqca35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bookmarkStart w:id="0" w:name="doc_mark"/>
    </w:p>
    <w:p>
      <w:pPr>
        <w:spacing w:line="530" w:lineRule="exact"/>
        <w:jc w:val="center"/>
        <w:rPr>
          <w:rFonts w:hint="eastAsia"/>
          <w:b/>
          <w:color w:val="FF0000"/>
          <w:sz w:val="32"/>
          <w:szCs w:val="32"/>
        </w:rPr>
      </w:pPr>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eastAsia="zh-CN"/>
        </w:rPr>
        <w:t>社</w:t>
      </w:r>
      <w:r>
        <w:rPr>
          <w:rFonts w:hint="eastAsia" w:eastAsia="方正仿宋_GBK"/>
          <w:sz w:val="32"/>
          <w:szCs w:val="32"/>
        </w:rPr>
        <w:t>〔</w:t>
      </w:r>
      <w:r>
        <w:rPr>
          <w:rFonts w:hint="eastAsia" w:eastAsia="方正仿宋_GBK"/>
          <w:sz w:val="32"/>
          <w:szCs w:val="32"/>
          <w:lang w:val="en-US" w:eastAsia="zh-CN"/>
        </w:rPr>
        <w:t>2025</w:t>
      </w:r>
      <w:r>
        <w:rPr>
          <w:rFonts w:hint="eastAsia" w:eastAsia="方正仿宋_GBK"/>
          <w:sz w:val="32"/>
          <w:szCs w:val="32"/>
        </w:rPr>
        <w:t>〕</w:t>
      </w:r>
      <w:r>
        <w:rPr>
          <w:rFonts w:hint="eastAsia" w:eastAsia="方正仿宋_GBK"/>
          <w:sz w:val="32"/>
          <w:szCs w:val="32"/>
          <w:lang w:val="en-US" w:eastAsia="zh-CN"/>
        </w:rPr>
        <w:t>3</w:t>
      </w:r>
      <w:r>
        <w:rPr>
          <w:rFonts w:hint="eastAsia" w:eastAsia="方正仿宋_GBK"/>
          <w:sz w:val="32"/>
          <w:szCs w:val="32"/>
        </w:rPr>
        <w:t>号</w:t>
      </w:r>
      <w:bookmarkEnd w:id="0"/>
    </w:p>
    <w:p>
      <w:pPr>
        <w:spacing w:line="400" w:lineRule="exact"/>
        <w:rPr>
          <w:rFonts w:hint="eastAsia" w:eastAsia="方正小标宋简体" w:cs="方正小标宋简体"/>
          <w:sz w:val="44"/>
          <w:szCs w:val="44"/>
          <w:lang w:eastAsia="zh-CN"/>
        </w:rPr>
      </w:pPr>
      <w:bookmarkStart w:id="1" w:name="Content"/>
      <w:bookmarkEnd w:id="1"/>
    </w:p>
    <w:p>
      <w:pPr>
        <w:jc w:val="center"/>
        <w:rPr>
          <w:rFonts w:hint="eastAsia" w:eastAsia="方正小标宋简体" w:cs="方正小标宋简体"/>
          <w:sz w:val="44"/>
          <w:szCs w:val="44"/>
          <w:lang w:eastAsia="zh-CN"/>
        </w:rPr>
      </w:pPr>
    </w:p>
    <w:p>
      <w:pPr>
        <w:keepNext w:val="0"/>
        <w:keepLines w:val="0"/>
        <w:widowControl/>
        <w:numPr>
          <w:ilvl w:val="0"/>
          <w:numId w:val="0"/>
        </w:numPr>
        <w:suppressLineNumbers w:val="0"/>
        <w:jc w:val="center"/>
        <w:rPr>
          <w:rFonts w:hint="eastAsia" w:eastAsia="方正小标宋简体" w:cs="方正小标宋简体"/>
          <w:sz w:val="44"/>
          <w:szCs w:val="44"/>
          <w:lang w:eastAsia="zh-CN"/>
        </w:rPr>
      </w:pPr>
      <w:r>
        <w:rPr>
          <w:rFonts w:hint="eastAsia" w:eastAsia="方正小标宋简体" w:cs="方正小标宋简体"/>
          <w:sz w:val="44"/>
          <w:szCs w:val="44"/>
          <w:lang w:eastAsia="zh-CN"/>
        </w:rPr>
        <w:t>梁河县财政局关于提前下达2025年中央</w:t>
      </w:r>
    </w:p>
    <w:p>
      <w:pPr>
        <w:keepNext w:val="0"/>
        <w:keepLines w:val="0"/>
        <w:widowControl/>
        <w:numPr>
          <w:ilvl w:val="0"/>
          <w:numId w:val="0"/>
        </w:numPr>
        <w:suppressLineNumbers w:val="0"/>
        <w:jc w:val="center"/>
        <w:rPr>
          <w:rFonts w:hint="eastAsia" w:eastAsia="方正小标宋简体" w:cs="方正小标宋简体"/>
          <w:sz w:val="44"/>
          <w:szCs w:val="44"/>
          <w:lang w:eastAsia="zh-CN"/>
        </w:rPr>
      </w:pPr>
      <w:r>
        <w:rPr>
          <w:rFonts w:hint="eastAsia" w:eastAsia="方正小标宋简体" w:cs="方正小标宋简体"/>
          <w:sz w:val="44"/>
          <w:szCs w:val="44"/>
          <w:lang w:eastAsia="zh-CN"/>
        </w:rPr>
        <w:t>就业财政补助资金预算的通知</w:t>
      </w:r>
    </w:p>
    <w:p>
      <w:pPr>
        <w:jc w:val="both"/>
        <w:rPr>
          <w:rFonts w:hint="eastAsia" w:ascii="Times New Roman"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梁河县人力资源和社会保障局</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根据《德宏州财政局 德宏州人力资源和社会保障局 关于提前下达2025年中央就业 财政补助资金预算的通知》（德财社〔2024〕207号）</w:t>
      </w:r>
      <w:bookmarkStart w:id="2" w:name="_GoBack"/>
      <w:bookmarkEnd w:id="2"/>
      <w:r>
        <w:rPr>
          <w:rFonts w:hint="eastAsia" w:eastAsia="方正仿宋_GBK"/>
          <w:sz w:val="32"/>
          <w:szCs w:val="32"/>
          <w:lang w:val="en-US" w:eastAsia="zh-CN"/>
        </w:rPr>
        <w:t>精神及州人社局提出的资金分配意见，现将2025年中央就业补助资金提前下达你单位（具体补助金额详见附件）。待 2025年预算年度开始后，按程序拨付使用。下达资金收入列入2025年“1100248-社会保障和就业共同财政事权转移支付收入”科目，支出列入“20807-就业补助”预算支出相关科目</w:t>
      </w:r>
      <w:r>
        <w:rPr>
          <w:rFonts w:hint="eastAsia" w:ascii="Times New Roman" w:hAnsi="Times New Roman" w:eastAsia="方正仿宋_GBK" w:cs="方正仿宋_GBK"/>
          <w:sz w:val="32"/>
          <w:szCs w:val="32"/>
          <w:lang w:val="en-US" w:eastAsia="zh-CN"/>
        </w:rPr>
        <w:t>（详见附件1）</w:t>
      </w:r>
      <w:r>
        <w:rPr>
          <w:rFonts w:hint="eastAsia" w:eastAsia="方正仿宋_GBK"/>
          <w:sz w:val="32"/>
          <w:szCs w:val="32"/>
          <w:lang w:val="en-US" w:eastAsia="zh-CN"/>
        </w:rPr>
        <w:t>，政府及部门支出经济分类科目，请根据该项目要求和实际情况按照《中华人民共和国预算法》和财政资金相关管理规定列支。现将有关事项通知如下：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一、此次下达的补助资金列入转移支付预算执行常态化监督范围，各部门要在预算管理一体化系统及时接收登录预算指标，并保持“追踪”标识不变，依托预算管理一体化系统转移支付监控模块，加强日常监督，提高转移支付资金管理使用的规范性和有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二、2025年就业补助资金预算分配时将继续体现激励约束机制，州级在分配2025年第二批中央就业补助资金时，将综合考虑各县市预算执行进度、资金结余、就业工作成效及审计督察检查发现问题整改等情况。对审计和督察中发现问题、绩效评价结果差、预算执行不到位、资金结余较大的地方，将对补助资金予以适当扣减。请严格按照补助资金规定的范围、标准和程序分配使用，加强资金使用监督和管理，专款专用，严禁挤占、挪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三、各县市财政局、人力资源和社会保障部门请于收到资金文件 20 日内将《中央就业补助资金绩效目标表》反馈州人力资 源和社会保障局。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四、请单位收到文件后，于3日内在预算管理一体化系统中挂接项目，完成挂接项目后请电话通知行财股（3019051）。如未按时限挂接项目导致资金无法正常使用，由各单位自行负责。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eastAsia="方正仿宋_GBK"/>
          <w:sz w:val="32"/>
          <w:szCs w:val="32"/>
          <w:lang w:val="en-US" w:eastAsia="zh-CN"/>
        </w:rPr>
      </w:pPr>
      <w:r>
        <w:rPr>
          <w:rFonts w:hint="eastAsia" w:eastAsia="方正仿宋_GBK"/>
          <w:sz w:val="32"/>
          <w:szCs w:val="32"/>
          <w:lang w:val="en-US" w:eastAsia="zh-CN"/>
        </w:rPr>
        <w:t>附件：1.德宏州提前下达 2025 年中央就业补助资金分配表</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eastAsia="方正仿宋_GBK"/>
          <w:sz w:val="32"/>
          <w:szCs w:val="32"/>
          <w:lang w:val="en-US" w:eastAsia="zh-CN"/>
        </w:rPr>
      </w:pPr>
      <w:r>
        <w:rPr>
          <w:rFonts w:hint="eastAsia" w:eastAsia="方正仿宋_GBK"/>
          <w:sz w:val="32"/>
          <w:szCs w:val="32"/>
          <w:lang w:val="en-US" w:eastAsia="zh-CN"/>
        </w:rPr>
        <w:t xml:space="preserve"> 2.中央就业补助资金绩效目标表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right"/>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梁河县财政</w:t>
      </w:r>
      <w:r>
        <w:rPr>
          <w:rFonts w:hint="eastAsia" w:ascii="Times New Roman" w:hAnsi="Times New Roman" w:eastAsia="方正仿宋_GBK" w:cs="方正仿宋_GBK"/>
          <w:sz w:val="32"/>
          <w:szCs w:val="32"/>
          <w:lang w:val="en-US" w:eastAsia="zh-CN"/>
        </w:rPr>
        <w:t>局</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6</w:t>
      </w:r>
      <w:r>
        <w:rPr>
          <w:rFonts w:hint="eastAsia" w:ascii="Times New Roman" w:hAnsi="Times New Roman" w:eastAsia="方正仿宋_GBK" w:cs="方正仿宋_GBK"/>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eastAsia="方正仿宋_GBK"/>
          <w:sz w:val="32"/>
          <w:szCs w:val="32"/>
          <w:lang w:val="en-US" w:eastAsia="zh-CN"/>
        </w:rPr>
      </w:pPr>
      <w:r>
        <w:rPr>
          <w:rFonts w:hint="eastAsia" w:eastAsia="方正仿宋_GBK"/>
          <w:sz w:val="32"/>
          <w:szCs w:val="32"/>
          <w:lang w:val="en-US" w:eastAsia="zh-CN"/>
        </w:rPr>
        <w:t>（此件公开发布）</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德宏州提前下达 2025 年中央就业补助资金分配表</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32"/>
          <w:szCs w:val="32"/>
          <w:lang w:val="en-US" w:eastAsia="zh-CN"/>
        </w:rPr>
        <w:t>单位：万元</w:t>
      </w:r>
    </w:p>
    <w:tbl>
      <w:tblPr>
        <w:tblStyle w:val="9"/>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4"/>
        <w:gridCol w:w="4757"/>
        <w:gridCol w:w="3434"/>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42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单位</w:t>
            </w:r>
          </w:p>
        </w:tc>
        <w:tc>
          <w:tcPr>
            <w:tcW w:w="47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功能分类</w:t>
            </w:r>
          </w:p>
        </w:tc>
        <w:tc>
          <w:tcPr>
            <w:tcW w:w="34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下达金额</w:t>
            </w:r>
          </w:p>
        </w:tc>
        <w:tc>
          <w:tcPr>
            <w:tcW w:w="17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4244"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梁河县人力资源和社会保障局</w:t>
            </w: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2080705公益性岗位补贴</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24"/>
                <w:szCs w:val="24"/>
                <w:lang w:val="en-US" w:eastAsia="zh-CN"/>
              </w:rPr>
              <w:t>4</w:t>
            </w:r>
            <w:r>
              <w:rPr>
                <w:rFonts w:hint="default" w:ascii="Times New Roman" w:hAnsi="Times New Roman" w:eastAsia="方正仿宋_GBK" w:cs="方正仿宋_GBK"/>
                <w:b/>
                <w:bCs/>
                <w:sz w:val="24"/>
                <w:szCs w:val="24"/>
                <w:lang w:val="en-US" w:eastAsia="zh-CN"/>
              </w:rPr>
              <w:t>70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424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2080704社会保险补贴</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210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24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2080702职业培训补贴</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eastAsia="方正仿宋_GBK" w:cs="方正仿宋_GBK"/>
                <w:b/>
                <w:bCs/>
                <w:sz w:val="24"/>
                <w:szCs w:val="24"/>
                <w:lang w:val="en-US" w:eastAsia="zh-CN"/>
              </w:rPr>
              <w:t>80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24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2080711就业见习补贴</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eastAsia="方正仿宋_GBK" w:cs="方正仿宋_GBK"/>
                <w:b/>
                <w:bCs/>
                <w:sz w:val="24"/>
                <w:szCs w:val="24"/>
                <w:lang w:val="en-US" w:eastAsia="zh-CN"/>
              </w:rPr>
              <w:t>10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424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2080713</w:t>
            </w:r>
            <w:r>
              <w:rPr>
                <w:rFonts w:hint="eastAsia" w:eastAsia="方正仿宋_GBK" w:cs="方正仿宋_GBK"/>
                <w:b/>
                <w:bCs/>
                <w:sz w:val="24"/>
                <w:szCs w:val="24"/>
                <w:lang w:val="en-US" w:eastAsia="zh-CN"/>
              </w:rPr>
              <w:t>求职和创业补贴</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eastAsia="方正仿宋_GBK" w:cs="方正仿宋_GBK"/>
                <w:b/>
                <w:bCs/>
                <w:sz w:val="24"/>
                <w:szCs w:val="24"/>
                <w:lang w:val="en-US" w:eastAsia="zh-CN"/>
              </w:rPr>
              <w:t>10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424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default" w:ascii="Times New Roman" w:hAnsi="Times New Roman" w:eastAsia="方正仿宋_GBK" w:cs="方正仿宋_GBK"/>
                <w:b/>
                <w:bCs/>
                <w:sz w:val="24"/>
                <w:szCs w:val="24"/>
                <w:lang w:val="en-US" w:eastAsia="zh-CN"/>
              </w:rPr>
              <w:t>2080799其他就业补助支出</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eastAsia="方正仿宋_GBK" w:cs="方正仿宋_GBK"/>
                <w:b/>
                <w:bCs/>
                <w:sz w:val="24"/>
                <w:szCs w:val="24"/>
                <w:lang w:val="en-US" w:eastAsia="zh-CN"/>
              </w:rPr>
              <w:t>20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5" w:hRule="atLeast"/>
        </w:trPr>
        <w:tc>
          <w:tcPr>
            <w:tcW w:w="4244"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p>
        </w:tc>
        <w:tc>
          <w:tcPr>
            <w:tcW w:w="4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24"/>
                <w:szCs w:val="24"/>
                <w:lang w:val="en-US" w:eastAsia="zh-CN"/>
              </w:rPr>
              <w:t>合计</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24"/>
                <w:szCs w:val="24"/>
                <w:lang w:val="en-US" w:eastAsia="zh-CN"/>
              </w:rPr>
              <w:t>800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p>
    <w:p>
      <w:pPr>
        <w:pStyle w:val="2"/>
        <w:rPr>
          <w:rFonts w:hint="eastAsia"/>
          <w:lang w:val="en-US" w:eastAsia="zh-CN"/>
        </w:rPr>
        <w:sectPr>
          <w:pgSz w:w="16838" w:h="11906" w:orient="landscape"/>
          <w:pgMar w:top="1803" w:right="1440" w:bottom="1803" w:left="1440" w:header="851" w:footer="992" w:gutter="0"/>
          <w:cols w:space="0" w:num="1"/>
          <w:rtlGutter w:val="0"/>
          <w:docGrid w:type="lines" w:linePitch="319" w:charSpace="0"/>
        </w:sectPr>
      </w:pPr>
    </w:p>
    <w:tbl>
      <w:tblPr>
        <w:tblStyle w:val="9"/>
        <w:tblW w:w="8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943"/>
        <w:gridCol w:w="1221"/>
        <w:gridCol w:w="1003"/>
        <w:gridCol w:w="852"/>
        <w:gridCol w:w="1037"/>
        <w:gridCol w:w="235"/>
        <w:gridCol w:w="559"/>
        <w:gridCol w:w="297"/>
        <w:gridCol w:w="287"/>
        <w:gridCol w:w="572"/>
        <w:gridCol w:w="572"/>
        <w:gridCol w:w="334"/>
        <w:gridCol w:w="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53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附件2</w:t>
            </w:r>
          </w:p>
        </w:tc>
        <w:tc>
          <w:tcPr>
            <w:tcW w:w="1221" w:type="dxa"/>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003"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1889" w:type="dxa"/>
            <w:gridSpan w:val="2"/>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235"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559"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584" w:type="dxa"/>
            <w:gridSpan w:val="2"/>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57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57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c>
          <w:tcPr>
            <w:tcW w:w="623" w:type="dxa"/>
            <w:gridSpan w:val="2"/>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540" w:hRule="atLeast"/>
        </w:trPr>
        <w:tc>
          <w:tcPr>
            <w:tcW w:w="8505"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6"/>
                <w:szCs w:val="36"/>
                <w:u w:val="none"/>
              </w:rPr>
            </w:pPr>
            <w:r>
              <w:rPr>
                <w:rFonts w:hint="eastAsia" w:ascii="仿宋_GB2312" w:hAnsi="宋体" w:eastAsia="仿宋_GB2312" w:cs="仿宋_GB2312"/>
                <w:b/>
                <w:bCs/>
                <w:i w:val="0"/>
                <w:iCs w:val="0"/>
                <w:color w:val="000000"/>
                <w:kern w:val="0"/>
                <w:sz w:val="36"/>
                <w:szCs w:val="36"/>
                <w:u w:val="none"/>
                <w:lang w:val="en-US" w:eastAsia="zh-CN" w:bidi="ar"/>
              </w:rPr>
              <w:t>中央就业补助资金绩效目标表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38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资金名称</w:t>
            </w:r>
          </w:p>
        </w:tc>
        <w:tc>
          <w:tcPr>
            <w:tcW w:w="6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5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中央主管部门</w:t>
            </w:r>
          </w:p>
        </w:tc>
        <w:tc>
          <w:tcPr>
            <w:tcW w:w="307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人力资源和社会保障部</w:t>
            </w:r>
          </w:p>
        </w:tc>
        <w:tc>
          <w:tcPr>
            <w:tcW w:w="212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实施期</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4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省级主管部门</w:t>
            </w:r>
          </w:p>
        </w:tc>
        <w:tc>
          <w:tcPr>
            <w:tcW w:w="307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云南省人力资源和社会保障局</w:t>
            </w:r>
          </w:p>
        </w:tc>
        <w:tc>
          <w:tcPr>
            <w:tcW w:w="212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省级财政部门</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35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州级主管部门</w:t>
            </w:r>
          </w:p>
        </w:tc>
        <w:tc>
          <w:tcPr>
            <w:tcW w:w="307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德宏州人力资源和社会保障局</w:t>
            </w:r>
          </w:p>
        </w:tc>
        <w:tc>
          <w:tcPr>
            <w:tcW w:w="212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州级财政部门</w:t>
            </w:r>
          </w:p>
        </w:tc>
        <w:tc>
          <w:tcPr>
            <w:tcW w:w="1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德宏州财政局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325" w:hRule="atLeast"/>
        </w:trPr>
        <w:tc>
          <w:tcPr>
            <w:tcW w:w="1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年度金额： </w:t>
            </w:r>
          </w:p>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（万元）</w:t>
            </w:r>
          </w:p>
        </w:tc>
        <w:tc>
          <w:tcPr>
            <w:tcW w:w="3076"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资金合计</w:t>
            </w:r>
          </w:p>
        </w:tc>
        <w:tc>
          <w:tcPr>
            <w:tcW w:w="3893" w:type="dxa"/>
            <w:gridSpan w:val="8"/>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州本级、县市情况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20" w:hRule="atLeast"/>
        </w:trPr>
        <w:tc>
          <w:tcPr>
            <w:tcW w:w="1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3076"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3893"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90" w:hRule="atLeast"/>
        </w:trPr>
        <w:tc>
          <w:tcPr>
            <w:tcW w:w="1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307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800</w:t>
            </w:r>
          </w:p>
        </w:tc>
        <w:tc>
          <w:tcPr>
            <w:tcW w:w="3893" w:type="dxa"/>
            <w:gridSpan w:val="8"/>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13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总体目标</w:t>
            </w:r>
          </w:p>
        </w:tc>
        <w:tc>
          <w:tcPr>
            <w:tcW w:w="791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就业补助资金按规定时间内拨付下达，预算执行进度良好。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资金使用效益不断提高，有力保障就业目标任务完成、重点群体稳定，劳动者职业技能水平逐步提升。</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就业政策满意度较高。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330"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标</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289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3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18"/>
                <w:szCs w:val="18"/>
                <w:u w:val="none"/>
              </w:rPr>
            </w:pP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33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享受职业培训补贴人次</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1950人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3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享受社会保险补贴人数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85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255"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享受就业见习补贴人数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18"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国家级高技能人才培训基地建设数量</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大师工作室建设数量</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毕业生年度高校毕业生享受一次性求职补贴人数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就业困难人员享受公益性岗位补贴人数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120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时效指标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资金在规定时间内下达率</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职业培训补贴人均标准</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90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社会保险补贴人均标准</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原则上灵活就业社保补贴不超过其社会保险费实际缴费金额的三分之二。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72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公益性岗位补贴人均标准</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原则上不高于当地最低工资标准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城镇新增就业人数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120人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城镇调查失业率</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年末高校毕业生就业去向落实率</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失业人员再就业人数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就业困难人员就业人数</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社会效益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零就业家庭帮扶率</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46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因就业问题发生重大群体事件数量</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89" w:type="dxa"/>
          <w:trHeight w:val="60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就业政策满意度</w:t>
            </w:r>
          </w:p>
        </w:tc>
        <w:tc>
          <w:tcPr>
            <w:tcW w:w="28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r>
    </w:tbl>
    <w:p>
      <w:pPr>
        <w:jc w:val="both"/>
        <w:rPr>
          <w:rFonts w:hint="eastAsia" w:ascii="Times New Roman" w:hAnsi="Times New Roman" w:eastAsia="方正仿宋_GBK" w:cs="方正仿宋_GBK"/>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pPr>
      <w:pStyle w:val="4"/>
      <w:ind w:right="360" w:firstLine="360"/>
      <w:rPr>
        <w:rStyle w:val="8"/>
        <w:szCs w:val="28"/>
      </w:rPr>
    </w:pPr>
  </w:p>
  <w:p>
    <w:pPr>
      <w:pStyle w:val="4"/>
      <w:ind w:right="360" w:firstLine="360"/>
      <w:rPr>
        <w:rStyle w:val="8"/>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71" w:y="-466"/>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mIzNzJmZjJiNmJlMGI5ZTRkNjM0NGRkZTA1ZDEifQ=="/>
  </w:docVars>
  <w:rsids>
    <w:rsidRoot w:val="001105C7"/>
    <w:rsid w:val="000958C7"/>
    <w:rsid w:val="000B1D49"/>
    <w:rsid w:val="001105C7"/>
    <w:rsid w:val="00587320"/>
    <w:rsid w:val="00686E4A"/>
    <w:rsid w:val="007F382E"/>
    <w:rsid w:val="00B453F0"/>
    <w:rsid w:val="00C42AF8"/>
    <w:rsid w:val="00D04398"/>
    <w:rsid w:val="01741C54"/>
    <w:rsid w:val="02734B12"/>
    <w:rsid w:val="02D11991"/>
    <w:rsid w:val="02EA5D84"/>
    <w:rsid w:val="03777D04"/>
    <w:rsid w:val="039708C5"/>
    <w:rsid w:val="043F0407"/>
    <w:rsid w:val="047E583C"/>
    <w:rsid w:val="04EB2B5B"/>
    <w:rsid w:val="05741F81"/>
    <w:rsid w:val="09DF7491"/>
    <w:rsid w:val="0B964655"/>
    <w:rsid w:val="0BE425BE"/>
    <w:rsid w:val="0CF34325"/>
    <w:rsid w:val="0CF85329"/>
    <w:rsid w:val="0DB13DC4"/>
    <w:rsid w:val="0F8E7854"/>
    <w:rsid w:val="10767974"/>
    <w:rsid w:val="11E274E8"/>
    <w:rsid w:val="129473F9"/>
    <w:rsid w:val="1427539F"/>
    <w:rsid w:val="143B0792"/>
    <w:rsid w:val="16DE3470"/>
    <w:rsid w:val="18810612"/>
    <w:rsid w:val="193D1165"/>
    <w:rsid w:val="19F707B1"/>
    <w:rsid w:val="1B5D7B1D"/>
    <w:rsid w:val="1BDD12A4"/>
    <w:rsid w:val="1C354549"/>
    <w:rsid w:val="1CB3658A"/>
    <w:rsid w:val="1F071CBB"/>
    <w:rsid w:val="1F843DF9"/>
    <w:rsid w:val="1FEE23B5"/>
    <w:rsid w:val="20393F85"/>
    <w:rsid w:val="213E6B55"/>
    <w:rsid w:val="21444C6A"/>
    <w:rsid w:val="22C2249A"/>
    <w:rsid w:val="23B5458F"/>
    <w:rsid w:val="26802882"/>
    <w:rsid w:val="28794974"/>
    <w:rsid w:val="29BF0D1B"/>
    <w:rsid w:val="29C00532"/>
    <w:rsid w:val="2A2C44B8"/>
    <w:rsid w:val="2C4402A1"/>
    <w:rsid w:val="2C5312A3"/>
    <w:rsid w:val="2CFE66A2"/>
    <w:rsid w:val="2D5445DE"/>
    <w:rsid w:val="2E3D67D8"/>
    <w:rsid w:val="2EE115C1"/>
    <w:rsid w:val="301C73A0"/>
    <w:rsid w:val="3044290C"/>
    <w:rsid w:val="315E5F8D"/>
    <w:rsid w:val="32DB3C4B"/>
    <w:rsid w:val="32FB1BB6"/>
    <w:rsid w:val="34C42BCC"/>
    <w:rsid w:val="34D44E97"/>
    <w:rsid w:val="353F797E"/>
    <w:rsid w:val="375E0332"/>
    <w:rsid w:val="37607AED"/>
    <w:rsid w:val="37EA66B2"/>
    <w:rsid w:val="39FB0620"/>
    <w:rsid w:val="3C5E53AF"/>
    <w:rsid w:val="3CEB3C93"/>
    <w:rsid w:val="3DFC1B15"/>
    <w:rsid w:val="3E971ACF"/>
    <w:rsid w:val="40086807"/>
    <w:rsid w:val="412475CE"/>
    <w:rsid w:val="413424F6"/>
    <w:rsid w:val="41550306"/>
    <w:rsid w:val="41EE53DB"/>
    <w:rsid w:val="43514316"/>
    <w:rsid w:val="43C72C45"/>
    <w:rsid w:val="44A85692"/>
    <w:rsid w:val="44EA5817"/>
    <w:rsid w:val="482A2D26"/>
    <w:rsid w:val="494E0284"/>
    <w:rsid w:val="49B259E8"/>
    <w:rsid w:val="49DA3348"/>
    <w:rsid w:val="4C0C4193"/>
    <w:rsid w:val="4DA65388"/>
    <w:rsid w:val="4E8046DC"/>
    <w:rsid w:val="4EBC05B2"/>
    <w:rsid w:val="4F085F36"/>
    <w:rsid w:val="5004110F"/>
    <w:rsid w:val="503E5B41"/>
    <w:rsid w:val="50532AE3"/>
    <w:rsid w:val="51FE2EA4"/>
    <w:rsid w:val="52A25961"/>
    <w:rsid w:val="53530522"/>
    <w:rsid w:val="53996A81"/>
    <w:rsid w:val="53D332F7"/>
    <w:rsid w:val="58071849"/>
    <w:rsid w:val="583B5EB2"/>
    <w:rsid w:val="59645F2C"/>
    <w:rsid w:val="59BF00EA"/>
    <w:rsid w:val="59DF1B06"/>
    <w:rsid w:val="5AFC0CDB"/>
    <w:rsid w:val="5B7E2B2B"/>
    <w:rsid w:val="5C2F1F35"/>
    <w:rsid w:val="5CF446B5"/>
    <w:rsid w:val="5DD87B45"/>
    <w:rsid w:val="5F0C4911"/>
    <w:rsid w:val="60006559"/>
    <w:rsid w:val="610E6617"/>
    <w:rsid w:val="613663AA"/>
    <w:rsid w:val="61A502C1"/>
    <w:rsid w:val="62A32961"/>
    <w:rsid w:val="651F5652"/>
    <w:rsid w:val="656C2781"/>
    <w:rsid w:val="6589284C"/>
    <w:rsid w:val="66405DF5"/>
    <w:rsid w:val="66865D3E"/>
    <w:rsid w:val="69C21358"/>
    <w:rsid w:val="69F62301"/>
    <w:rsid w:val="6B2F0B66"/>
    <w:rsid w:val="6B5805E2"/>
    <w:rsid w:val="6D833B9E"/>
    <w:rsid w:val="6E9A33B9"/>
    <w:rsid w:val="6EC00A0B"/>
    <w:rsid w:val="70063F83"/>
    <w:rsid w:val="70337CDB"/>
    <w:rsid w:val="70B64B15"/>
    <w:rsid w:val="70C112E2"/>
    <w:rsid w:val="71697D5A"/>
    <w:rsid w:val="72C7118F"/>
    <w:rsid w:val="72D55042"/>
    <w:rsid w:val="73D03F14"/>
    <w:rsid w:val="74265879"/>
    <w:rsid w:val="76115FE1"/>
    <w:rsid w:val="7617075C"/>
    <w:rsid w:val="762C675A"/>
    <w:rsid w:val="77774BC5"/>
    <w:rsid w:val="77D456D1"/>
    <w:rsid w:val="784D69AC"/>
    <w:rsid w:val="79C30B64"/>
    <w:rsid w:val="7D2C4237"/>
    <w:rsid w:val="7D566AB7"/>
    <w:rsid w:val="7E99481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Arial"/>
      <w:b/>
      <w:bCs/>
      <w:kern w:val="44"/>
      <w:sz w:val="44"/>
    </w:rPr>
  </w:style>
  <w:style w:type="character" w:default="1" w:styleId="6">
    <w:name w:val="Default Paragraph Font"/>
    <w:link w:val="7"/>
    <w:semiHidden/>
    <w:qFormat/>
    <w:uiPriority w:val="0"/>
    <w:rPr>
      <w:rFonts w:ascii="Verdana" w:hAnsi="Verdana" w:eastAsia="仿宋_GB2312" w:cs="Times New Roman"/>
      <w:kern w:val="0"/>
      <w:sz w:val="24"/>
      <w:szCs w:val="20"/>
      <w:lang w:eastAsia="en-US"/>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w:basedOn w:val="1"/>
    <w:link w:val="6"/>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10">
    <w:name w:val="font41"/>
    <w:basedOn w:val="6"/>
    <w:qFormat/>
    <w:uiPriority w:val="0"/>
    <w:rPr>
      <w:rFonts w:hint="default" w:ascii="Arial" w:hAnsi="Arial" w:cs="Arial"/>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font31"/>
    <w:basedOn w:val="6"/>
    <w:qFormat/>
    <w:uiPriority w:val="0"/>
    <w:rPr>
      <w:rFonts w:hint="eastAsia" w:ascii="宋体" w:hAnsi="宋体" w:eastAsia="宋体" w:cs="宋体"/>
      <w:b/>
      <w:color w:val="000000"/>
      <w:sz w:val="44"/>
      <w:szCs w:val="44"/>
      <w:u w:val="none"/>
    </w:rPr>
  </w:style>
  <w:style w:type="character" w:customStyle="1" w:styleId="13">
    <w:name w:val="font81"/>
    <w:basedOn w:val="6"/>
    <w:qFormat/>
    <w:uiPriority w:val="0"/>
    <w:rPr>
      <w:rFonts w:hint="eastAsia" w:ascii="宋体" w:hAnsi="宋体" w:eastAsia="宋体" w:cs="宋体"/>
      <w:b/>
      <w:color w:val="000000"/>
      <w:sz w:val="24"/>
      <w:szCs w:val="24"/>
      <w:u w:val="none"/>
    </w:rPr>
  </w:style>
  <w:style w:type="character" w:customStyle="1" w:styleId="14">
    <w:name w:val="font21"/>
    <w:basedOn w:val="6"/>
    <w:qFormat/>
    <w:uiPriority w:val="0"/>
    <w:rPr>
      <w:rFonts w:hint="eastAsia" w:ascii="宋体" w:hAnsi="宋体" w:eastAsia="宋体" w:cs="宋体"/>
      <w:b/>
      <w:color w:val="000000"/>
      <w:sz w:val="44"/>
      <w:szCs w:val="44"/>
      <w:u w:val="none"/>
    </w:rPr>
  </w:style>
  <w:style w:type="character" w:customStyle="1" w:styleId="15">
    <w:name w:val="font51"/>
    <w:basedOn w:val="6"/>
    <w:qFormat/>
    <w:uiPriority w:val="0"/>
    <w:rPr>
      <w:rFonts w:hint="eastAsia" w:ascii="宋体" w:hAnsi="宋体" w:eastAsia="宋体" w:cs="宋体"/>
      <w:b/>
      <w:color w:val="000000"/>
      <w:sz w:val="24"/>
      <w:szCs w:val="24"/>
      <w:u w:val="none"/>
    </w:rPr>
  </w:style>
  <w:style w:type="character" w:customStyle="1" w:styleId="16">
    <w:name w:val="font61"/>
    <w:basedOn w:val="6"/>
    <w:qFormat/>
    <w:uiPriority w:val="0"/>
    <w:rPr>
      <w:rFonts w:ascii="方正仿宋_GBK" w:hAnsi="方正仿宋_GBK" w:eastAsia="方正仿宋_GBK" w:cs="方正仿宋_GBK"/>
      <w:color w:val="000000"/>
      <w:sz w:val="32"/>
      <w:szCs w:val="32"/>
      <w:u w:val="none"/>
    </w:rPr>
  </w:style>
  <w:style w:type="character" w:customStyle="1" w:styleId="17">
    <w:name w:val="font91"/>
    <w:basedOn w:val="6"/>
    <w:qFormat/>
    <w:uiPriority w:val="0"/>
    <w:rPr>
      <w:rFonts w:ascii="方正黑体_GBK" w:hAnsi="方正黑体_GBK" w:eastAsia="方正黑体_GBK" w:cs="方正黑体_GBK"/>
      <w:color w:val="000000"/>
      <w:sz w:val="32"/>
      <w:szCs w:val="32"/>
      <w:u w:val="none"/>
    </w:rPr>
  </w:style>
  <w:style w:type="character" w:customStyle="1" w:styleId="18">
    <w:name w:val="font101"/>
    <w:basedOn w:val="6"/>
    <w:qFormat/>
    <w:uiPriority w:val="0"/>
    <w:rPr>
      <w:rFonts w:hint="eastAsia" w:ascii="方正小标宋_GBK" w:hAnsi="方正小标宋_GBK" w:eastAsia="方正小标宋_GBK" w:cs="方正小标宋_GBK"/>
      <w:color w:val="000000"/>
      <w:sz w:val="22"/>
      <w:szCs w:val="22"/>
      <w:u w:val="none"/>
    </w:rPr>
  </w:style>
  <w:style w:type="character" w:customStyle="1" w:styleId="19">
    <w:name w:val="font112"/>
    <w:basedOn w:val="6"/>
    <w:qFormat/>
    <w:uiPriority w:val="0"/>
    <w:rPr>
      <w:rFonts w:hint="eastAsia" w:ascii="宋体" w:hAnsi="宋体" w:eastAsia="宋体" w:cs="宋体"/>
      <w:color w:val="000000"/>
      <w:sz w:val="18"/>
      <w:szCs w:val="18"/>
      <w:u w:val="none"/>
    </w:rPr>
  </w:style>
  <w:style w:type="character" w:customStyle="1" w:styleId="20">
    <w:name w:val="font71"/>
    <w:basedOn w:val="6"/>
    <w:qFormat/>
    <w:uiPriority w:val="0"/>
    <w:rPr>
      <w:rFonts w:hint="default" w:ascii="Times New Roman" w:hAnsi="Times New Roman" w:cs="Times New Roman"/>
      <w:color w:val="000000"/>
      <w:sz w:val="18"/>
      <w:szCs w:val="18"/>
      <w:u w:val="none"/>
    </w:rPr>
  </w:style>
  <w:style w:type="character" w:customStyle="1" w:styleId="21">
    <w:name w:val="font121"/>
    <w:basedOn w:val="6"/>
    <w:qFormat/>
    <w:uiPriority w:val="0"/>
    <w:rPr>
      <w:rFonts w:hint="eastAsia" w:ascii="宋体" w:hAnsi="宋体" w:eastAsia="宋体" w:cs="宋体"/>
      <w:color w:val="000000"/>
      <w:sz w:val="18"/>
      <w:szCs w:val="18"/>
      <w:u w:val="none"/>
    </w:rPr>
  </w:style>
  <w:style w:type="character" w:customStyle="1" w:styleId="22">
    <w:name w:val="font131"/>
    <w:basedOn w:val="6"/>
    <w:qFormat/>
    <w:uiPriority w:val="0"/>
    <w:rPr>
      <w:rFonts w:hint="eastAsia" w:ascii="宋体" w:hAnsi="宋体" w:eastAsia="宋体" w:cs="宋体"/>
      <w:color w:val="000000"/>
      <w:sz w:val="16"/>
      <w:szCs w:val="16"/>
      <w:u w:val="none"/>
    </w:rPr>
  </w:style>
  <w:style w:type="character" w:customStyle="1" w:styleId="23">
    <w:name w:val="font141"/>
    <w:basedOn w:val="6"/>
    <w:qFormat/>
    <w:uiPriority w:val="0"/>
    <w:rPr>
      <w:rFonts w:ascii="方正书宋_GBK" w:hAnsi="方正书宋_GBK" w:eastAsia="方正书宋_GBK" w:cs="方正书宋_GBK"/>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6</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DELL</cp:lastModifiedBy>
  <dcterms:modified xsi:type="dcterms:W3CDTF">2025-09-11T01:19:43Z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23C5E3BB650348719FB6EA797424585E</vt:lpwstr>
  </property>
</Properties>
</file>