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ascii="仿宋_GB2312"/>
          <w:color w:val="000000"/>
          <w:sz w:val="32"/>
          <w:szCs w:val="32"/>
        </w:rPr>
      </w:pPr>
    </w:p>
    <w:p>
      <w:pPr>
        <w:pStyle w:val="10"/>
        <w:jc w:val="center"/>
        <w:rPr>
          <w:rFonts w:ascii="仿宋_GB2312"/>
          <w:color w:val="000000"/>
          <w:sz w:val="32"/>
          <w:szCs w:val="32"/>
        </w:rPr>
      </w:pPr>
      <w:r>
        <w:rPr>
          <w:rFonts w:ascii="仿宋_GB2312"/>
          <w:color w:val="000000"/>
          <w:sz w:val="32"/>
          <w:szCs w:val="32"/>
        </w:rPr>
        <w:t>梁开组〔2019〕65号</w:t>
      </w:r>
    </w:p>
    <w:p>
      <w:pPr>
        <w:pStyle w:val="10"/>
        <w:jc w:val="center"/>
        <w:rPr>
          <w:rFonts w:ascii="仿宋_GB2312"/>
          <w:color w:val="000000"/>
          <w:sz w:val="32"/>
          <w:szCs w:val="32"/>
        </w:rPr>
      </w:pPr>
    </w:p>
    <w:p>
      <w:pPr>
        <w:pStyle w:val="10"/>
        <w:jc w:val="center"/>
        <w:rPr>
          <w:rFonts w:hAnsi="宋体"/>
        </w:rPr>
      </w:pPr>
    </w:p>
    <w:p>
      <w:pPr>
        <w:pStyle w:val="10"/>
        <w:pageBreakBefore w:val="0"/>
        <w:spacing w:line="600" w:lineRule="exact"/>
        <w:ind w:right="0"/>
        <w:jc w:val="center"/>
        <w:rPr>
          <w:rFonts w:ascii="方正小标宋_GBK" w:hAnsi="方正小标宋_GBK"/>
          <w:sz w:val="44"/>
          <w:szCs w:val="44"/>
        </w:rPr>
      </w:pPr>
      <w:r>
        <w:rPr>
          <w:rFonts w:ascii="方正小标宋_GBK" w:hAnsi="方正小标宋_GBK"/>
          <w:sz w:val="44"/>
          <w:szCs w:val="44"/>
        </w:rPr>
        <w:t>梁河县2019年统筹整合使用</w:t>
      </w:r>
    </w:p>
    <w:p>
      <w:pPr>
        <w:pStyle w:val="10"/>
        <w:pageBreakBefore w:val="0"/>
        <w:spacing w:line="600" w:lineRule="exact"/>
        <w:ind w:right="0"/>
        <w:jc w:val="center"/>
        <w:rPr>
          <w:rFonts w:ascii="方正小标宋_GBK" w:hAnsi="方正小标宋_GBK"/>
          <w:sz w:val="44"/>
          <w:szCs w:val="44"/>
        </w:rPr>
      </w:pPr>
      <w:r>
        <w:rPr>
          <w:rFonts w:ascii="方正小标宋_GBK" w:hAnsi="方正小标宋_GBK"/>
          <w:sz w:val="44"/>
          <w:szCs w:val="44"/>
        </w:rPr>
        <w:t>财政涉农资金补充方案</w:t>
      </w:r>
    </w:p>
    <w:p>
      <w:pPr>
        <w:pStyle w:val="10"/>
        <w:pageBreakBefore w:val="0"/>
        <w:spacing w:line="600" w:lineRule="exact"/>
        <w:ind w:right="0"/>
        <w:jc w:val="center"/>
        <w:rPr>
          <w:rFonts w:ascii="方正小标宋_GBK" w:hAnsi="方正小标宋_GBK"/>
          <w:sz w:val="44"/>
          <w:szCs w:val="44"/>
        </w:rPr>
      </w:pP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shd w:val="clear" w:fill="FFFFFF"/>
        </w:rPr>
      </w:pPr>
      <w:r>
        <w:rPr>
          <w:rFonts w:ascii="仿宋" w:hAnsi="仿宋"/>
          <w:sz w:val="32"/>
          <w:szCs w:val="32"/>
          <w:shd w:val="clear" w:fill="FFFFFF"/>
        </w:rPr>
        <w:t>为贯彻落实好国务院对扶贫试点县财政涉农资金整合工作部署安排，顺利实现我县脱贫摘帽目标，根据</w:t>
      </w:r>
      <w:r>
        <w:rPr>
          <w:rFonts w:ascii="仿宋" w:hAnsi="仿宋"/>
          <w:sz w:val="32"/>
          <w:szCs w:val="32"/>
        </w:rPr>
        <w:t>《云南省财政厅 云南省人民政府扶贫开发办公室关于做好2019年贫困县涉农资金整合试点工作的通知》(云财农[2019]54号)</w:t>
      </w:r>
      <w:r>
        <w:rPr>
          <w:rFonts w:ascii="仿宋" w:hAnsi="仿宋"/>
          <w:sz w:val="32"/>
          <w:szCs w:val="32"/>
          <w:shd w:val="clear" w:fill="FFFFFF"/>
        </w:rPr>
        <w:t>文件精神，结合《2019年度贫困县整合资金调整方案审查意见表》以及我县8月份调整方案后实际收到的整合资金，以及本年度脱贫攻坚资金需求量的实际情况，特制订本补充方案。</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3"/>
        <w:textAlignment w:val="auto"/>
        <w:outlineLvl w:val="9"/>
        <w:rPr>
          <w:rFonts w:ascii="仿宋" w:hAnsi="仿宋"/>
          <w:b/>
          <w:sz w:val="32"/>
          <w:szCs w:val="32"/>
        </w:rPr>
      </w:pPr>
      <w:r>
        <w:rPr>
          <w:rFonts w:ascii="仿宋" w:hAnsi="仿宋"/>
          <w:b/>
          <w:sz w:val="32"/>
          <w:szCs w:val="32"/>
        </w:rPr>
        <w:t>一、指导思想</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rPr>
      </w:pPr>
      <w:r>
        <w:rPr>
          <w:rFonts w:ascii="仿宋" w:hAnsi="仿宋"/>
          <w:sz w:val="32"/>
          <w:szCs w:val="32"/>
        </w:rPr>
        <w:t>紧紧围绕坚持和发展中国特色社会主义、实现中华民族伟大复兴主题，深入贯彻党的十九大精神。以中央和省州精准扶贫会议精神为指导，以提高财政专项资金使用效益为目标，坚持改革创新，通过整合使用各级涉农财政专项资金，建立精准扶贫、精准脱贫事权与支出责任相适应的新机制。</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3"/>
        <w:textAlignment w:val="auto"/>
        <w:outlineLvl w:val="9"/>
        <w:rPr>
          <w:rFonts w:ascii="仿宋" w:hAnsi="仿宋"/>
          <w:b/>
          <w:sz w:val="32"/>
          <w:szCs w:val="32"/>
        </w:rPr>
      </w:pPr>
      <w:r>
        <w:rPr>
          <w:rFonts w:ascii="仿宋" w:hAnsi="仿宋"/>
          <w:b/>
          <w:sz w:val="32"/>
          <w:szCs w:val="32"/>
        </w:rPr>
        <w:t>二、基本原则</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rPr>
      </w:pPr>
      <w:r>
        <w:rPr>
          <w:rFonts w:ascii="仿宋" w:hAnsi="仿宋"/>
          <w:sz w:val="32"/>
          <w:szCs w:val="32"/>
        </w:rPr>
        <w:t>（一）坚持集中财力整合优化的原则。按照“渠道不乱、用途不变、统筹安排、集中投入、</w:t>
      </w:r>
      <w:bookmarkStart w:id="0" w:name="_GoBack"/>
      <w:bookmarkEnd w:id="0"/>
      <w:r>
        <w:rPr>
          <w:rFonts w:hint="eastAsia" w:ascii="仿宋" w:hAnsi="仿宋"/>
          <w:sz w:val="32"/>
          <w:szCs w:val="32"/>
          <w:lang w:eastAsia="zh-CN"/>
        </w:rPr>
        <w:t>各司其职</w:t>
      </w:r>
      <w:r>
        <w:rPr>
          <w:rFonts w:ascii="仿宋" w:hAnsi="仿宋"/>
          <w:sz w:val="32"/>
          <w:szCs w:val="32"/>
        </w:rPr>
        <w:t>、形成合力”的原则，坚持精准扶贫、精准脱贫，整合优化各类财政支农资金，统筹使用，形成部门协调配合，良性互动工作机制，聚焦支持对全县农业和农村经济发展和贫困地区脱贫攻坚起支撑带动作用的重点项目。</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rPr>
      </w:pPr>
      <w:r>
        <w:rPr>
          <w:rFonts w:ascii="仿宋" w:hAnsi="仿宋"/>
          <w:sz w:val="32"/>
          <w:szCs w:val="32"/>
        </w:rPr>
        <w:t>（二）坚持突出重点，分步实施的原则。实行以规划带动项目，以项目整合资金。围绕优势产业，推进科技创新，突出重点项目、重点区域（贫困乡、贫困村），集中投入，连续投入，先易后难，稳步推进。</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rPr>
      </w:pPr>
      <w:r>
        <w:rPr>
          <w:rFonts w:ascii="仿宋" w:hAnsi="仿宋"/>
          <w:sz w:val="32"/>
          <w:szCs w:val="32"/>
        </w:rPr>
        <w:t>（三）坚持优化结构，提高效益的原则。以现代农业发展为方向，以农民增收为核心，加强财政和各部门的沟通协作，通过创新投资方式方法，逐步形成支农资金归类合理，安排科学，使用高效，运作安全的使用管理机制。</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581"/>
        <w:textAlignment w:val="auto"/>
        <w:outlineLvl w:val="9"/>
        <w:rPr>
          <w:rFonts w:ascii="仿宋" w:hAnsi="仿宋"/>
          <w:b/>
          <w:color w:val="2B2B2B"/>
          <w:sz w:val="32"/>
          <w:szCs w:val="32"/>
        </w:rPr>
      </w:pPr>
      <w:r>
        <w:rPr>
          <w:rFonts w:ascii="仿宋" w:hAnsi="仿宋"/>
          <w:b/>
          <w:color w:val="2B2B2B"/>
          <w:sz w:val="32"/>
          <w:szCs w:val="32"/>
          <w:shd w:val="clear" w:fill="FFFFFF"/>
        </w:rPr>
        <w:t>三、补充原因</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579"/>
        <w:textAlignment w:val="auto"/>
        <w:outlineLvl w:val="9"/>
        <w:rPr>
          <w:rFonts w:ascii="仿宋" w:hAnsi="仿宋"/>
          <w:color w:val="2B2B2B"/>
          <w:sz w:val="32"/>
          <w:szCs w:val="32"/>
          <w:shd w:val="clear" w:fill="FFFFFF"/>
        </w:rPr>
      </w:pPr>
      <w:r>
        <w:rPr>
          <w:rFonts w:ascii="仿宋" w:hAnsi="仿宋"/>
          <w:color w:val="2B2B2B"/>
          <w:sz w:val="32"/>
          <w:szCs w:val="32"/>
          <w:shd w:val="clear" w:fill="FFFFFF"/>
        </w:rPr>
        <w:t>2019年8月，根据省厅关于贫困县年中调整方案的工作要求，我县编制了《梁河县2019年统筹整合财政涉农资金实施方案调整方案》，在调整方案编制附表中：由于各级资金到位不足，填报计划整合资金规模调整数为20859.57万元，9月到现在，我县实际又整合了财政涉农资金2292.55万元，全年共计整合财政涉农资金23152.12万元。</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581"/>
        <w:textAlignment w:val="auto"/>
        <w:outlineLvl w:val="9"/>
        <w:rPr>
          <w:rFonts w:ascii="仿宋" w:hAnsi="仿宋"/>
          <w:b/>
          <w:color w:val="2B2B2B"/>
          <w:sz w:val="32"/>
          <w:szCs w:val="32"/>
          <w:shd w:val="clear" w:fill="FFFFFF"/>
        </w:rPr>
      </w:pPr>
      <w:r>
        <w:rPr>
          <w:rFonts w:ascii="仿宋" w:hAnsi="仿宋"/>
          <w:b/>
          <w:color w:val="2B2B2B"/>
          <w:sz w:val="32"/>
          <w:szCs w:val="32"/>
          <w:shd w:val="clear" w:fill="FFFFFF"/>
        </w:rPr>
        <w:t>四、补充程序</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579"/>
        <w:textAlignment w:val="auto"/>
        <w:outlineLvl w:val="9"/>
        <w:rPr>
          <w:rFonts w:ascii="仿宋" w:hAnsi="仿宋"/>
          <w:color w:val="2B2B2B"/>
          <w:sz w:val="32"/>
          <w:szCs w:val="32"/>
        </w:rPr>
      </w:pPr>
      <w:r>
        <w:rPr>
          <w:rFonts w:ascii="仿宋" w:hAnsi="仿宋"/>
          <w:color w:val="2B2B2B"/>
          <w:sz w:val="32"/>
          <w:szCs w:val="32"/>
          <w:shd w:val="clear" w:fill="FFFFFF"/>
        </w:rPr>
        <w:t>整合资金项目须经村级评议、镇级初审、部门主审、县级审批的程序，进入脱贫攻坚项目库，实行入库项目有进有出，适时更新，成熟一批入库一批，需求一批落实一批。脱贫攻坚领导小组根据实际的资金整合情况，结合我县脱贫攻坚需求，召开专门会议，从项目库中抽取项目，下发资金计划，然后拨付资金。项目承担部门接到通知后开始实施项目，项目实施开始后，由专人负责督查整合资金使用及项目实施情况，对进度较慢的项目，进行催办、督办，避免整合资金出现结余滞留问题。</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581"/>
        <w:textAlignment w:val="auto"/>
        <w:outlineLvl w:val="9"/>
        <w:rPr>
          <w:rFonts w:ascii="仿宋" w:hAnsi="仿宋"/>
          <w:b/>
          <w:color w:val="2B2B2B"/>
          <w:sz w:val="32"/>
          <w:szCs w:val="32"/>
          <w:shd w:val="clear" w:fill="FFFFFF"/>
        </w:rPr>
      </w:pPr>
      <w:r>
        <w:rPr>
          <w:rFonts w:ascii="仿宋" w:hAnsi="仿宋"/>
          <w:b/>
          <w:color w:val="2B2B2B"/>
          <w:sz w:val="32"/>
          <w:szCs w:val="32"/>
          <w:shd w:val="clear" w:fill="FFFFFF"/>
        </w:rPr>
        <w:t>五、资金到位及增减情况</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420"/>
        <w:textAlignment w:val="auto"/>
        <w:outlineLvl w:val="9"/>
        <w:rPr>
          <w:rFonts w:ascii="仿宋" w:hAnsi="仿宋"/>
          <w:sz w:val="32"/>
          <w:szCs w:val="32"/>
          <w:shd w:val="clear" w:fill="FFFFFF"/>
        </w:rPr>
      </w:pPr>
      <w:r>
        <w:rPr>
          <w:rFonts w:ascii="仿宋" w:hAnsi="仿宋"/>
          <w:sz w:val="32"/>
          <w:szCs w:val="32"/>
          <w:shd w:val="clear" w:fill="FFFFFF"/>
        </w:rPr>
        <w:t xml:space="preserve"> 2019年度实际整合资金23152.12万元、与调整方案整合资金20859.57万元相比资金规模增加2292.55万元，项目增减变化总体情况如下：</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420"/>
        <w:textAlignment w:val="auto"/>
        <w:outlineLvl w:val="9"/>
        <w:rPr>
          <w:rFonts w:ascii="仿宋" w:hAnsi="仿宋"/>
          <w:sz w:val="32"/>
          <w:szCs w:val="32"/>
          <w:shd w:val="clear" w:fill="FFFFFF"/>
        </w:rPr>
      </w:pPr>
      <w:r>
        <w:rPr>
          <w:rFonts w:ascii="仿宋" w:hAnsi="仿宋"/>
          <w:sz w:val="32"/>
          <w:szCs w:val="32"/>
          <w:shd w:val="clear" w:fill="FFFFFF"/>
        </w:rPr>
        <w:t>脱贫攻坚项目年终方案增加项目资金5258.01万元（附表3），脱贫攻坚项目年终方案减少项目资金2965.46万元（附表4）。其中</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shd w:val="clear" w:fill="FFFFFF"/>
        </w:rPr>
      </w:pPr>
      <w:r>
        <w:rPr>
          <w:rFonts w:ascii="仿宋" w:hAnsi="仿宋"/>
          <w:sz w:val="32"/>
          <w:szCs w:val="32"/>
          <w:shd w:val="clear" w:fill="FFFFFF"/>
        </w:rPr>
        <w:t>1、2019年9月后，根据各级财政资金到位情况，新增投入项目资金3292.55万元（中央资金1500万元，省级专项资金762万元，2017-2018结余重新下达1030.55万元）。</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textAlignment w:val="auto"/>
        <w:outlineLvl w:val="9"/>
        <w:rPr>
          <w:rFonts w:ascii="仿宋" w:hAnsi="仿宋"/>
          <w:sz w:val="32"/>
          <w:szCs w:val="32"/>
          <w:shd w:val="clear" w:fill="FFFFFF"/>
        </w:rPr>
      </w:pPr>
      <w:r>
        <w:rPr>
          <w:rFonts w:ascii="仿宋" w:hAnsi="仿宋"/>
          <w:sz w:val="32"/>
          <w:szCs w:val="32"/>
          <w:shd w:val="clear" w:fill="FFFFFF"/>
        </w:rPr>
        <w:t>其中：基础设施投入3235.55万元，产业投入57万元。</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shd w:val="clear" w:fill="FFFFFF"/>
        </w:rPr>
      </w:pPr>
      <w:r>
        <w:rPr>
          <w:rFonts w:ascii="仿宋" w:hAnsi="仿宋"/>
          <w:sz w:val="32"/>
          <w:szCs w:val="32"/>
          <w:shd w:val="clear" w:fill="FFFFFF"/>
        </w:rPr>
        <w:t>2、结合《2019年度贫困县整合资金调整方案审查意见表》，减少投入基础设施-其他人居环境建设资金1000万元（县级资金）。</w:t>
      </w:r>
    </w:p>
    <w:p>
      <w:pPr>
        <w:pStyle w:val="10"/>
        <w:keepNext w:val="0"/>
        <w:keepLines w:val="0"/>
        <w:pageBreakBefore w:val="0"/>
        <w:widowControl/>
        <w:shd w:val="clear" w:fill="FFFFFF"/>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rPr>
      </w:pPr>
      <w:r>
        <w:rPr>
          <w:rFonts w:ascii="仿宋" w:hAnsi="仿宋"/>
          <w:sz w:val="32"/>
          <w:szCs w:val="32"/>
          <w:shd w:val="clear" w:fill="FFFFFF"/>
        </w:rPr>
        <w:t>3、（1）部分项目资金在编制调整方案时，因资金正在分配中未下达，导致方案中填报项目不精准，与实际下达项目存在调整变动，调整项目资金1343.46万元，其中：基础设施村内道路项目间调整变动1097.9万元，水利项目间调整变动51.56万元，基础设施村内道路调整为水利项目资金162.2万元，农业产业项目调整为水利项目31.8万元。（2）</w:t>
      </w:r>
      <w:r>
        <w:rPr>
          <w:rFonts w:ascii="仿宋" w:hAnsi="仿宋"/>
          <w:color w:val="2B2B2B"/>
          <w:sz w:val="32"/>
          <w:szCs w:val="32"/>
          <w:shd w:val="clear" w:fill="FFFFFF"/>
        </w:rPr>
        <w:t>结合</w:t>
      </w:r>
      <w:r>
        <w:rPr>
          <w:rFonts w:ascii="仿宋" w:hAnsi="仿宋"/>
          <w:sz w:val="32"/>
          <w:szCs w:val="32"/>
          <w:shd w:val="clear" w:fill="FFFFFF"/>
        </w:rPr>
        <w:t>《2019年度贫困县整合资金调整方案审查意见表》，将基础设施-其他人居环境建设资金622万元调整投入至村内道路建设项目。</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640"/>
        <w:textAlignment w:val="auto"/>
        <w:outlineLvl w:val="9"/>
        <w:rPr>
          <w:rFonts w:ascii="仿宋" w:hAnsi="仿宋"/>
          <w:sz w:val="32"/>
          <w:szCs w:val="32"/>
        </w:rPr>
      </w:pPr>
      <w:r>
        <w:rPr>
          <w:rFonts w:ascii="仿宋" w:hAnsi="仿宋"/>
          <w:sz w:val="32"/>
          <w:szCs w:val="32"/>
        </w:rPr>
        <w:t>附件：</w:t>
      </w:r>
    </w:p>
    <w:p>
      <w:pPr>
        <w:pStyle w:val="10"/>
        <w:keepNext w:val="0"/>
        <w:keepLines w:val="0"/>
        <w:pageBreakBefore w:val="0"/>
        <w:widowControl/>
        <w:numPr>
          <w:ilvl w:val="0"/>
          <w:numId w:val="1"/>
        </w:numPr>
        <w:kinsoku/>
        <w:wordWrap/>
        <w:overflowPunct/>
        <w:topLinePunct w:val="0"/>
        <w:autoSpaceDE/>
        <w:autoSpaceDN/>
        <w:bidi w:val="0"/>
        <w:adjustRightInd/>
        <w:snapToGrid/>
        <w:spacing w:line="520" w:lineRule="exact"/>
        <w:ind w:right="0" w:rightChars="0" w:firstLine="960"/>
        <w:textAlignment w:val="auto"/>
        <w:outlineLvl w:val="9"/>
        <w:rPr>
          <w:rFonts w:ascii="仿宋" w:hAnsi="仿宋"/>
          <w:sz w:val="32"/>
          <w:szCs w:val="32"/>
        </w:rPr>
      </w:pPr>
      <w:r>
        <w:rPr>
          <w:rFonts w:ascii="仿宋" w:hAnsi="仿宋"/>
          <w:sz w:val="32"/>
          <w:szCs w:val="32"/>
        </w:rPr>
        <w:t>德宏州梁河县财政涉农资金整合方案基本情况表</w:t>
      </w:r>
    </w:p>
    <w:p>
      <w:pPr>
        <w:pStyle w:val="10"/>
        <w:keepNext w:val="0"/>
        <w:keepLines w:val="0"/>
        <w:pageBreakBefore w:val="0"/>
        <w:widowControl/>
        <w:numPr>
          <w:ilvl w:val="0"/>
          <w:numId w:val="1"/>
        </w:numPr>
        <w:kinsoku/>
        <w:wordWrap/>
        <w:overflowPunct/>
        <w:topLinePunct w:val="0"/>
        <w:autoSpaceDE/>
        <w:autoSpaceDN/>
        <w:bidi w:val="0"/>
        <w:adjustRightInd/>
        <w:snapToGrid/>
        <w:spacing w:line="520" w:lineRule="exact"/>
        <w:ind w:right="0" w:rightChars="0" w:firstLine="960"/>
        <w:textAlignment w:val="auto"/>
        <w:outlineLvl w:val="9"/>
        <w:rPr>
          <w:rFonts w:ascii="仿宋" w:hAnsi="仿宋"/>
          <w:sz w:val="32"/>
          <w:szCs w:val="32"/>
        </w:rPr>
      </w:pPr>
      <w:r>
        <w:rPr>
          <w:rFonts w:ascii="仿宋" w:hAnsi="仿宋"/>
          <w:sz w:val="32"/>
          <w:szCs w:val="32"/>
        </w:rPr>
        <w:t>梁河县统筹整合财政涉农资金来源情况表</w:t>
      </w:r>
    </w:p>
    <w:p>
      <w:pPr>
        <w:pStyle w:val="10"/>
        <w:keepNext w:val="0"/>
        <w:keepLines w:val="0"/>
        <w:pageBreakBefore w:val="0"/>
        <w:widowControl/>
        <w:kinsoku/>
        <w:wordWrap/>
        <w:overflowPunct/>
        <w:topLinePunct w:val="0"/>
        <w:autoSpaceDE/>
        <w:autoSpaceDN/>
        <w:bidi w:val="0"/>
        <w:adjustRightInd/>
        <w:snapToGrid/>
        <w:spacing w:line="520" w:lineRule="exact"/>
        <w:ind w:right="0" w:rightChars="0" w:firstLine="960"/>
        <w:textAlignment w:val="auto"/>
        <w:outlineLvl w:val="9"/>
        <w:rPr>
          <w:rFonts w:ascii="仿宋" w:hAnsi="仿宋"/>
          <w:sz w:val="32"/>
          <w:szCs w:val="32"/>
        </w:rPr>
      </w:pPr>
      <w:r>
        <w:rPr>
          <w:rFonts w:ascii="仿宋" w:hAnsi="仿宋"/>
          <w:sz w:val="32"/>
          <w:szCs w:val="32"/>
        </w:rPr>
        <w:t>3.梁河县统筹整合财政涉农资金脱贫攻坚项目表（年终方案增加项目明细）</w:t>
      </w:r>
    </w:p>
    <w:p>
      <w:pPr>
        <w:pStyle w:val="18"/>
        <w:keepNext w:val="0"/>
        <w:keepLines w:val="0"/>
        <w:pageBreakBefore w:val="0"/>
        <w:widowControl/>
        <w:kinsoku/>
        <w:wordWrap/>
        <w:overflowPunct/>
        <w:topLinePunct w:val="0"/>
        <w:autoSpaceDE/>
        <w:autoSpaceDN/>
        <w:bidi w:val="0"/>
        <w:adjustRightInd/>
        <w:snapToGrid/>
        <w:spacing w:line="520" w:lineRule="exact"/>
        <w:ind w:left="-420" w:right="0" w:rightChars="0" w:firstLine="0"/>
        <w:textAlignment w:val="auto"/>
        <w:outlineLvl w:val="9"/>
        <w:rPr>
          <w:rFonts w:ascii="仿宋" w:hAnsi="仿宋"/>
          <w:sz w:val="32"/>
          <w:szCs w:val="32"/>
        </w:rPr>
      </w:pPr>
      <w:r>
        <w:rPr>
          <w:rFonts w:ascii="仿宋" w:hAnsi="仿宋"/>
          <w:sz w:val="32"/>
          <w:szCs w:val="32"/>
        </w:rPr>
        <w:t>　　　　  4.</w:t>
      </w:r>
      <w:r>
        <w:t xml:space="preserve"> </w:t>
      </w:r>
      <w:r>
        <w:rPr>
          <w:rFonts w:ascii="仿宋" w:hAnsi="仿宋"/>
          <w:sz w:val="32"/>
          <w:szCs w:val="32"/>
        </w:rPr>
        <w:t>梁河县统筹整合财政涉农资金脱贫攻坚项目表（年终方案减少项目明细）</w:t>
      </w:r>
    </w:p>
    <w:p>
      <w:pPr>
        <w:pStyle w:val="18"/>
        <w:keepNext w:val="0"/>
        <w:keepLines w:val="0"/>
        <w:pageBreakBefore w:val="0"/>
        <w:widowControl/>
        <w:kinsoku/>
        <w:wordWrap/>
        <w:overflowPunct/>
        <w:topLinePunct w:val="0"/>
        <w:autoSpaceDE/>
        <w:autoSpaceDN/>
        <w:bidi w:val="0"/>
        <w:adjustRightInd/>
        <w:snapToGrid/>
        <w:spacing w:line="520" w:lineRule="exact"/>
        <w:ind w:left="0" w:right="0" w:rightChars="0" w:firstLine="960"/>
        <w:textAlignment w:val="auto"/>
        <w:outlineLvl w:val="9"/>
        <w:rPr>
          <w:rFonts w:ascii="仿宋" w:hAnsi="仿宋"/>
          <w:sz w:val="32"/>
          <w:szCs w:val="32"/>
        </w:rPr>
      </w:pPr>
      <w:r>
        <w:rPr>
          <w:rFonts w:ascii="仿宋" w:hAnsi="仿宋"/>
          <w:sz w:val="32"/>
          <w:szCs w:val="32"/>
        </w:rPr>
        <w:t>5．德宏州梁河县调整方案项目类型投入情况统计表</w:t>
      </w:r>
    </w:p>
    <w:p>
      <w:pPr>
        <w:pStyle w:val="10"/>
        <w:pageBreakBefore w:val="0"/>
        <w:spacing w:line="600" w:lineRule="exact"/>
        <w:ind w:right="0"/>
        <w:jc w:val="both"/>
        <w:rPr>
          <w:rFonts w:ascii="仿宋" w:hAnsi="仿宋"/>
          <w:sz w:val="32"/>
          <w:szCs w:val="32"/>
        </w:rPr>
      </w:pPr>
      <w:r>
        <w:rPr>
          <w:rFonts w:ascii="仿宋" w:hAnsi="仿宋"/>
          <w:sz w:val="32"/>
          <w:szCs w:val="32"/>
        </w:rPr>
        <w:t xml:space="preserve">  </w:t>
      </w:r>
    </w:p>
    <w:p>
      <w:pPr>
        <w:pStyle w:val="10"/>
        <w:pageBreakBefore w:val="0"/>
        <w:spacing w:line="600" w:lineRule="exact"/>
        <w:ind w:right="0"/>
        <w:jc w:val="both"/>
        <w:rPr>
          <w:rFonts w:ascii="仿宋" w:hAnsi="仿宋"/>
          <w:sz w:val="32"/>
          <w:szCs w:val="32"/>
        </w:rPr>
      </w:pPr>
    </w:p>
    <w:p>
      <w:pPr>
        <w:pStyle w:val="10"/>
        <w:pageBreakBefore w:val="0"/>
        <w:spacing w:line="600" w:lineRule="exact"/>
        <w:ind w:right="0"/>
        <w:jc w:val="both"/>
        <w:rPr>
          <w:rFonts w:ascii="仿宋" w:hAnsi="仿宋"/>
          <w:sz w:val="32"/>
          <w:szCs w:val="32"/>
        </w:rPr>
      </w:pPr>
    </w:p>
    <w:p>
      <w:pPr>
        <w:pStyle w:val="10"/>
        <w:pageBreakBefore w:val="0"/>
        <w:spacing w:line="600" w:lineRule="exact"/>
        <w:ind w:left="0" w:right="0" w:firstLine="4480"/>
        <w:jc w:val="both"/>
        <w:rPr>
          <w:rFonts w:ascii="仿宋" w:hAnsi="仿宋"/>
          <w:sz w:val="32"/>
          <w:szCs w:val="32"/>
        </w:rPr>
      </w:pPr>
      <w:r>
        <w:rPr>
          <w:rFonts w:ascii="仿宋" w:hAnsi="仿宋"/>
          <w:sz w:val="32"/>
          <w:szCs w:val="32"/>
        </w:rPr>
        <w:t>梁河县扶贫开发领导小组</w:t>
      </w:r>
    </w:p>
    <w:p>
      <w:pPr>
        <w:pStyle w:val="10"/>
        <w:pageBreakBefore w:val="0"/>
        <w:spacing w:line="600" w:lineRule="exact"/>
        <w:ind w:right="0" w:firstLine="5120"/>
        <w:jc w:val="both"/>
        <w:rPr>
          <w:rFonts w:ascii="仿宋_GB2312" w:hAnsi="仿宋_GB2312"/>
          <w:sz w:val="32"/>
          <w:szCs w:val="32"/>
        </w:rPr>
      </w:pPr>
      <w:r>
        <w:rPr>
          <w:rFonts w:ascii="仿宋" w:hAnsi="仿宋"/>
          <w:sz w:val="32"/>
          <w:szCs w:val="32"/>
        </w:rPr>
        <w:t>2019年12月11日</w:t>
      </w:r>
    </w:p>
    <w:p>
      <w:pPr>
        <w:pStyle w:val="10"/>
        <w:pageBreakBefore w:val="0"/>
        <w:spacing w:line="600" w:lineRule="exact"/>
        <w:ind w:right="0"/>
        <w:jc w:val="both"/>
        <w:rPr>
          <w:rFonts w:ascii="仿宋_GB2312" w:hAnsi="仿宋_GB2312"/>
          <w:sz w:val="32"/>
          <w:szCs w:val="32"/>
        </w:rPr>
      </w:pPr>
    </w:p>
    <w:p>
      <w:pPr>
        <w:pStyle w:val="10"/>
        <w:pageBreakBefore w:val="0"/>
        <w:spacing w:line="600" w:lineRule="exact"/>
        <w:ind w:right="0"/>
        <w:rPr>
          <w:rFonts w:ascii="仿宋_GB2312"/>
          <w:sz w:val="28"/>
          <w:szCs w:val="28"/>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1685B"/>
    <w:multiLevelType w:val="singleLevel"/>
    <w:tmpl w:val="6891685B"/>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compat>
    <w:useFELayout/>
    <w:splitPgBreakAndParaMark/>
    <w:compatSetting w:name="compatibilityMode" w:uri="http://schemas.microsoft.com/office/word" w:val="12"/>
  </w:compat>
  <w:rsids>
    <w:rsidRoot w:val="00000000"/>
    <w:rsid w:val="164327F3"/>
    <w:rsid w:val="5D1E2D6D"/>
    <w:rsid w:val="7372710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heme="minorHAnsi" w:eastAsiaTheme="minorEastAsia" w:cstheme="minorBidi"/>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uiPriority w:val="0"/>
    <w:pPr>
      <w:spacing w:after="300"/>
    </w:pPr>
    <w:rPr>
      <w:color w:val="17365D"/>
      <w:sz w:val="52"/>
    </w:rPr>
  </w:style>
  <w:style w:type="character" w:styleId="8">
    <w:name w:val="page number"/>
    <w:qFormat/>
    <w:uiPriority w:val="0"/>
  </w:style>
  <w:style w:type="paragraph" w:customStyle="1" w:styleId="10">
    <w:name w:val="正文1"/>
    <w:link w:val="17"/>
    <w:qFormat/>
    <w:uiPriority w:val="0"/>
    <w:pPr>
      <w:jc w:val="both"/>
    </w:pPr>
    <w:rPr>
      <w:rFonts w:ascii="Times New Roman" w:hAnsiTheme="minorHAnsi" w:eastAsiaTheme="minorEastAsia" w:cstheme="minorBidi"/>
      <w:sz w:val="21"/>
      <w:szCs w:val="24"/>
    </w:rPr>
  </w:style>
  <w:style w:type="character" w:customStyle="1" w:styleId="11">
    <w:name w:val="默认段落字体1"/>
    <w:link w:val="10"/>
    <w:qFormat/>
    <w:uiPriority w:val="0"/>
  </w:style>
  <w:style w:type="table" w:customStyle="1" w:styleId="12">
    <w:name w:val="普通表格1"/>
    <w:qFormat/>
    <w:uiPriority w:val="0"/>
    <w:tblPr>
      <w:tblLayout w:type="fixed"/>
    </w:tblPr>
  </w:style>
  <w:style w:type="character" w:customStyle="1" w:styleId="13">
    <w:name w:val="页码1"/>
    <w:link w:val="10"/>
    <w:qFormat/>
    <w:uiPriority w:val="0"/>
  </w:style>
  <w:style w:type="character" w:customStyle="1" w:styleId="14">
    <w:name w:val="超链接1"/>
    <w:link w:val="10"/>
    <w:qFormat/>
    <w:uiPriority w:val="0"/>
    <w:rPr>
      <w:color w:val="0000FF"/>
      <w:u w:val="single"/>
    </w:rPr>
  </w:style>
  <w:style w:type="character" w:customStyle="1" w:styleId="15">
    <w:name w:val="页眉 Char"/>
    <w:link w:val="10"/>
    <w:qFormat/>
    <w:uiPriority w:val="0"/>
    <w:rPr>
      <w:sz w:val="18"/>
      <w:szCs w:val="18"/>
    </w:rPr>
  </w:style>
  <w:style w:type="character" w:customStyle="1" w:styleId="16">
    <w:name w:val="日期 Char"/>
    <w:link w:val="10"/>
    <w:qFormat/>
    <w:uiPriority w:val="0"/>
    <w:rPr>
      <w:sz w:val="21"/>
      <w:szCs w:val="24"/>
    </w:rPr>
  </w:style>
  <w:style w:type="character" w:customStyle="1" w:styleId="17">
    <w:name w:val="页脚 Char"/>
    <w:link w:val="10"/>
    <w:qFormat/>
    <w:uiPriority w:val="0"/>
    <w:rPr>
      <w:sz w:val="18"/>
      <w:szCs w:val="18"/>
    </w:rPr>
  </w:style>
  <w:style w:type="paragraph" w:customStyle="1" w:styleId="18">
    <w:name w:val="图表目录1"/>
    <w:qFormat/>
    <w:uiPriority w:val="0"/>
    <w:pPr>
      <w:ind w:left="200" w:hanging="200"/>
    </w:pPr>
    <w:rPr>
      <w:rFonts w:ascii="Times New Roman" w:hAnsiTheme="minorHAnsi" w:eastAsiaTheme="minorEastAsia" w:cstheme="minorBidi"/>
    </w:rPr>
  </w:style>
  <w:style w:type="paragraph" w:customStyle="1" w:styleId="19">
    <w:name w:val="日期1"/>
    <w:qFormat/>
    <w:uiPriority w:val="0"/>
    <w:pPr>
      <w:ind w:left="100"/>
    </w:pPr>
    <w:rPr>
      <w:rFonts w:ascii="Times New Roman" w:hAnsiTheme="minorHAnsi" w:eastAsiaTheme="minorEastAsia" w:cstheme="minorBidi"/>
    </w:rPr>
  </w:style>
  <w:style w:type="paragraph" w:customStyle="1" w:styleId="20">
    <w:name w:val="批注框文本1"/>
    <w:qFormat/>
    <w:uiPriority w:val="0"/>
    <w:rPr>
      <w:rFonts w:ascii="Times New Roman" w:hAnsiTheme="minorHAnsi" w:eastAsiaTheme="minorEastAsia" w:cstheme="minorBidi"/>
      <w:sz w:val="18"/>
      <w:szCs w:val="18"/>
    </w:rPr>
  </w:style>
  <w:style w:type="paragraph" w:customStyle="1" w:styleId="21">
    <w:name w:val="页眉1"/>
    <w:qFormat/>
    <w:uiPriority w:val="0"/>
    <w:pPr>
      <w:pBdr>
        <w:bottom w:val="single" w:color="000000" w:sz="6" w:space="1"/>
      </w:pBdr>
      <w:jc w:val="center"/>
    </w:pPr>
    <w:rPr>
      <w:rFonts w:ascii="Times New Roman" w:hAnsiTheme="minorHAnsi" w:eastAsiaTheme="minorEastAsia" w:cstheme="minorBidi"/>
      <w:sz w:val="18"/>
      <w:szCs w:val="18"/>
    </w:rPr>
  </w:style>
  <w:style w:type="paragraph" w:customStyle="1" w:styleId="22">
    <w:name w:val="普通(网站)1"/>
    <w:qFormat/>
    <w:uiPriority w:val="0"/>
    <w:pPr>
      <w:spacing w:before="0" w:after="0"/>
      <w:ind w:left="0" w:right="0"/>
      <w:jc w:val="left"/>
    </w:pPr>
    <w:rPr>
      <w:rFonts w:ascii="Times New Roman" w:hAnsiTheme="minorHAnsi" w:eastAsiaTheme="minorEastAsia" w:cstheme="minorBidi"/>
      <w:sz w:val="24"/>
    </w:rPr>
  </w:style>
  <w:style w:type="paragraph" w:customStyle="1" w:styleId="23">
    <w:name w:val="页脚1"/>
    <w:qFormat/>
    <w:uiPriority w:val="0"/>
    <w:pPr>
      <w:jc w:val="left"/>
    </w:pPr>
    <w:rPr>
      <w:rFonts w:ascii="Times New Roman" w:hAnsiTheme="minorHAnsi" w:eastAsiaTheme="minorEastAsia" w:cstheme="minorBidi"/>
      <w:sz w:val="18"/>
      <w:szCs w:val="18"/>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Calibri" w:hAnsi="Calibri" w:eastAsiaTheme="minorEastAsia" w:cstheme="minorBidi"/>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2025-10-07T09:31:18Z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