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240" w:firstLineChars="7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rPr>
        <w:pict>
          <v:rect id="KGD_Gobal1" o:spid="_x0000_s1027" o:spt="1" alt="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" style="position:absolute;left:0pt;margin-left:-80.9pt;margin-top:-94.9pt;height:5pt;width:5pt;visibility:hidden;z-index:251659264;mso-width-relative:page;mso-height-relative:page;" fillcolor="#FFFFFF" filled="t" stroked="t" coordsize="21600,21600">
            <v:path/>
            <v:fill on="t" color2="#FFFFFF" focussize="0,0"/>
            <v:stroke joinstyle="miter"/>
            <v:imagedata o:title=""/>
            <o:lock v:ext="edit" aspectratio="f"/>
          </v:rect>
        </w:pict>
      </w:r>
      <w:bookmarkStart w:id="0" w:name="doc_mark"/>
      <w:r>
        <w:rPr>
          <w:rFonts w:hint="eastAsia" w:ascii="方正仿宋_GBK" w:hAnsi="方正仿宋_GBK" w:eastAsia="方正仿宋_GBK" w:cs="方正仿宋_GBK"/>
          <w:sz w:val="32"/>
          <w:szCs w:val="32"/>
          <w:lang w:eastAsia="zh-CN"/>
        </w:rPr>
        <w:t>梁</w:t>
      </w:r>
      <w:r>
        <w:rPr>
          <w:rFonts w:hint="eastAsia" w:ascii="方正仿宋_GBK" w:hAnsi="方正仿宋_GBK" w:eastAsia="方正仿宋_GBK" w:cs="方正仿宋_GBK"/>
          <w:sz w:val="32"/>
          <w:szCs w:val="32"/>
        </w:rPr>
        <w:t>财</w:t>
      </w:r>
      <w:r>
        <w:rPr>
          <w:rFonts w:hint="eastAsia" w:ascii="方正仿宋_GBK" w:hAnsi="方正仿宋_GBK" w:eastAsia="方正仿宋_GBK" w:cs="方正仿宋_GBK"/>
          <w:sz w:val="32"/>
          <w:szCs w:val="32"/>
          <w:lang w:eastAsia="zh-CN"/>
        </w:rPr>
        <w:t>社</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2024</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114</w:t>
      </w:r>
      <w:r>
        <w:rPr>
          <w:rFonts w:hint="eastAsia" w:ascii="方正仿宋_GBK" w:hAnsi="方正仿宋_GBK" w:eastAsia="方正仿宋_GBK" w:cs="方正仿宋_GBK"/>
          <w:sz w:val="32"/>
          <w:szCs w:val="32"/>
        </w:rPr>
        <w:t>号</w:t>
      </w:r>
      <w:bookmarkEnd w:id="0"/>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kern w:val="0"/>
          <w:sz w:val="44"/>
          <w:szCs w:val="44"/>
          <w:lang w:val="en-US" w:eastAsia="zh-CN" w:bidi="ar"/>
        </w:rPr>
      </w:pPr>
      <w:bookmarkStart w:id="1" w:name="Content"/>
      <w:bookmarkEnd w:id="1"/>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kern w:val="0"/>
          <w:sz w:val="44"/>
          <w:szCs w:val="44"/>
          <w:lang w:val="en-US" w:eastAsia="zh-CN" w:bidi="ar"/>
        </w:rPr>
      </w:pPr>
      <w:r>
        <w:rPr>
          <w:rFonts w:hint="eastAsia" w:ascii="方正小标宋_GBK" w:hAnsi="方正小标宋_GBK" w:eastAsia="方正小标宋_GBK" w:cs="方正小标宋_GBK"/>
          <w:kern w:val="0"/>
          <w:sz w:val="44"/>
          <w:szCs w:val="44"/>
          <w:lang w:val="en-US" w:eastAsia="zh-CN" w:bidi="ar"/>
        </w:rPr>
        <w:t>梁河县财政局关于下达2024年已脱贫人口重点人群和农村低收入人群家庭医生签约服务结算补助资金的通知</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梁河县</w:t>
      </w:r>
      <w:r>
        <w:rPr>
          <w:rFonts w:hint="eastAsia" w:ascii="方正仿宋_GBK" w:hAnsi="方正仿宋_GBK" w:eastAsia="方正仿宋_GBK" w:cs="方正仿宋_GBK"/>
          <w:sz w:val="32"/>
          <w:szCs w:val="32"/>
          <w:lang w:eastAsia="zh-CN"/>
        </w:rPr>
        <w:t>遮岛社区卫生服务中心、梁河县芒东镇中心卫生院、梁河县勐养镇卫生院、梁河县平山乡卫生院、</w:t>
      </w:r>
      <w:r>
        <w:rPr>
          <w:rFonts w:hint="eastAsia" w:ascii="方正仿宋_GBK" w:hAnsi="方正仿宋_GBK" w:eastAsia="方正仿宋_GBK" w:cs="方正仿宋_GBK"/>
          <w:sz w:val="32"/>
          <w:szCs w:val="32"/>
          <w:lang w:val="en-US" w:eastAsia="zh-CN"/>
        </w:rPr>
        <w:t>梁</w:t>
      </w:r>
      <w:r>
        <w:rPr>
          <w:rFonts w:hint="eastAsia" w:ascii="方正仿宋_GBK" w:hAnsi="方正仿宋_GBK" w:eastAsia="方正仿宋_GBK" w:cs="方正仿宋_GBK"/>
          <w:sz w:val="32"/>
          <w:szCs w:val="32"/>
        </w:rPr>
        <w:t>河县小厂乡卫生院</w:t>
      </w:r>
      <w:r>
        <w:rPr>
          <w:rFonts w:hint="eastAsia" w:ascii="方正仿宋_GBK" w:hAnsi="方正仿宋_GBK" w:eastAsia="方正仿宋_GBK" w:cs="方正仿宋_GBK"/>
          <w:sz w:val="32"/>
          <w:szCs w:val="32"/>
          <w:lang w:eastAsia="zh-CN"/>
        </w:rPr>
        <w:t>、梁河县</w:t>
      </w:r>
      <w:r>
        <w:rPr>
          <w:rFonts w:hint="eastAsia" w:ascii="方正仿宋_GBK" w:hAnsi="方正仿宋_GBK" w:eastAsia="方正仿宋_GBK" w:cs="方正仿宋_GBK"/>
          <w:sz w:val="32"/>
          <w:szCs w:val="32"/>
          <w:lang w:val="en-US" w:eastAsia="zh-CN"/>
        </w:rPr>
        <w:t>大</w:t>
      </w:r>
      <w:r>
        <w:rPr>
          <w:rFonts w:hint="eastAsia" w:ascii="方正仿宋_GBK" w:hAnsi="方正仿宋_GBK" w:eastAsia="方正仿宋_GBK" w:cs="方正仿宋_GBK"/>
          <w:sz w:val="32"/>
          <w:szCs w:val="32"/>
          <w:lang w:eastAsia="zh-CN"/>
        </w:rPr>
        <w:t>厂乡卫生院、梁河县九保阿昌族乡卫生院、</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sz w:val="44"/>
          <w:szCs w:val="44"/>
          <w:lang w:val="en-US" w:eastAsia="zh-CN"/>
        </w:rPr>
      </w:pPr>
      <w:r>
        <w:rPr>
          <w:rFonts w:hint="eastAsia" w:ascii="方正仿宋_GBK" w:hAnsi="方正仿宋_GBK" w:eastAsia="方正仿宋_GBK" w:cs="方正仿宋_GBK"/>
          <w:sz w:val="32"/>
          <w:szCs w:val="32"/>
          <w:lang w:eastAsia="zh-CN"/>
        </w:rPr>
        <w:t>梁河县曩宋中心卫生院、梁河县河西乡卫生院：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根据《</w:t>
      </w:r>
      <w:r>
        <w:rPr>
          <w:rFonts w:hint="eastAsia" w:ascii="方正仿宋_GBK" w:hAnsi="方正仿宋_GBK" w:eastAsia="方正仿宋_GBK" w:cs="方正仿宋_GBK"/>
          <w:color w:val="000000"/>
          <w:kern w:val="0"/>
          <w:sz w:val="31"/>
          <w:szCs w:val="31"/>
          <w:lang w:val="en-US" w:eastAsia="zh-CN" w:bidi="ar"/>
        </w:rPr>
        <w:t>德宏州财政局 德宏州卫生健康委员会关于下达2024年已脱贫人口重点人群和农村低收入人群家庭医生签约服务结算补助资金的通知</w:t>
      </w: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color w:val="000000"/>
          <w:kern w:val="0"/>
          <w:sz w:val="31"/>
          <w:szCs w:val="31"/>
          <w:lang w:val="en-US" w:eastAsia="zh-CN" w:bidi="ar"/>
        </w:rPr>
        <w:t>德财社〔2024〕130号</w:t>
      </w:r>
      <w:r>
        <w:rPr>
          <w:rFonts w:hint="eastAsia" w:ascii="方正仿宋_GBK" w:hAnsi="方正仿宋_GBK" w:eastAsia="方正仿宋_GBK" w:cs="方正仿宋_GBK"/>
          <w:kern w:val="2"/>
          <w:sz w:val="32"/>
          <w:szCs w:val="32"/>
          <w:lang w:val="en-US" w:eastAsia="zh-CN" w:bidi="ar-SA"/>
        </w:rPr>
        <w:t>）精神，现下达各单位</w:t>
      </w:r>
      <w:r>
        <w:rPr>
          <w:rFonts w:hint="eastAsia" w:ascii="方正仿宋_GBK" w:hAnsi="方正仿宋_GBK" w:eastAsia="方正仿宋_GBK" w:cs="方正仿宋_GBK"/>
          <w:color w:val="000000"/>
          <w:kern w:val="0"/>
          <w:sz w:val="31"/>
          <w:szCs w:val="31"/>
          <w:lang w:val="en-US" w:eastAsia="zh-CN" w:bidi="ar"/>
        </w:rPr>
        <w:t>2024年已脱贫人口重点人群和农村低收入人群家庭医生签约服务个人缴费省级结算补助资金（具体金额详见附件），现将有关事项通知如下: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kern w:val="2"/>
          <w:sz w:val="32"/>
          <w:szCs w:val="32"/>
          <w:lang w:val="en-US" w:eastAsia="zh-CN" w:bidi="ar-SA"/>
        </w:rPr>
        <w:t>一、</w:t>
      </w:r>
      <w:r>
        <w:rPr>
          <w:rFonts w:hint="eastAsia" w:ascii="方正仿宋_GBK" w:hAnsi="方正仿宋_GBK" w:eastAsia="方正仿宋_GBK" w:cs="方正仿宋_GBK"/>
          <w:color w:val="000000"/>
          <w:kern w:val="0"/>
          <w:sz w:val="31"/>
          <w:szCs w:val="31"/>
          <w:lang w:val="en-US" w:eastAsia="zh-CN" w:bidi="ar"/>
        </w:rPr>
        <w:t>2024年已脱贫人口重点人群和农村低收入人群家庭医生签约服务个人缴费省级补助资金收入列入2024年政府收支分类“1100249医疗卫生共同财政事权转移支付收入”科目，支出列入“2100399其他基层医疗卫生机构支出”科目，</w:t>
      </w:r>
      <w:r>
        <w:rPr>
          <w:rFonts w:hint="eastAsia" w:ascii="方正仿宋_GBK" w:hAnsi="方正仿宋_GBK" w:eastAsia="方正仿宋_GBK" w:cs="方正仿宋_GBK"/>
          <w:kern w:val="2"/>
          <w:sz w:val="32"/>
          <w:szCs w:val="32"/>
          <w:lang w:val="en-US" w:eastAsia="zh-CN" w:bidi="ar-SA"/>
        </w:rPr>
        <w:t>政府及部门支出经济分类科目，根据实际情况按照《中华人民共和国预算法》和财政资金相关管理规定列支。</w:t>
      </w:r>
      <w:r>
        <w:rPr>
          <w:rFonts w:hint="eastAsia" w:ascii="方正仿宋_GBK" w:hAnsi="方正仿宋_GBK" w:eastAsia="方正仿宋_GBK" w:cs="方正仿宋_GBK"/>
          <w:color w:val="000000"/>
          <w:kern w:val="0"/>
          <w:sz w:val="31"/>
          <w:szCs w:val="31"/>
          <w:lang w:val="en-US" w:eastAsia="zh-CN" w:bidi="ar"/>
        </w:rPr>
        <w:t>资金用于代缴纳入签约管理的脱贫人口重点人群和农村低收入人群家庭医生签约服务个人承担部分。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w:t>
      </w:r>
      <w:r>
        <w:rPr>
          <w:rFonts w:hint="eastAsia" w:ascii="方正仿宋_GBK" w:hAnsi="方正仿宋_GBK" w:eastAsia="方正仿宋_GBK" w:cs="方正仿宋_GBK"/>
          <w:color w:val="000000"/>
          <w:kern w:val="0"/>
          <w:sz w:val="31"/>
          <w:szCs w:val="31"/>
          <w:lang w:val="en-US" w:eastAsia="zh-CN" w:bidi="ar"/>
        </w:rPr>
        <w:t>请各县市按照要求认真组织实施脱贫人口重点人群和农村低收入人群家庭医生签约服务工作，</w:t>
      </w:r>
      <w:bookmarkStart w:id="2" w:name="_GoBack"/>
      <w:bookmarkEnd w:id="2"/>
      <w:r>
        <w:rPr>
          <w:rFonts w:hint="eastAsia" w:ascii="方正仿宋_GBK" w:hAnsi="方正仿宋_GBK" w:eastAsia="方正仿宋_GBK" w:cs="方正仿宋_GBK"/>
          <w:color w:val="000000"/>
          <w:kern w:val="0"/>
          <w:sz w:val="31"/>
          <w:szCs w:val="31"/>
          <w:lang w:val="en-US" w:eastAsia="zh-CN" w:bidi="ar"/>
        </w:rPr>
        <w:t>加强和完善绩效管理，确保绩效目标如期实现。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三、请单位收到文件后，于3日内在预算管理一体化系统中挂接项目，完成挂接项目后请电话通知行财股（3019051）。如未按时限挂接项目导致资金无法正常使用，由各单位自行负责。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附件：1.2024年已脱贫人口重点人群和农村低收入人群家庭医</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生签约服务个人代缴省级财政补助结算资金分配表</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2.2024年已脱贫人口重点人群和农村低收入人群家庭医</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生签约服务个人代缴省级财政结算补助资金绩效目标表</w:t>
      </w:r>
    </w:p>
    <w:p>
      <w:pPr>
        <w:pStyle w:val="2"/>
        <w:rPr>
          <w:rFonts w:hint="eastAsia" w:ascii="方正仿宋_GBK" w:hAnsi="方正仿宋_GBK" w:eastAsia="方正仿宋_GBK" w:cs="方正仿宋_GBK"/>
          <w:sz w:val="32"/>
          <w:szCs w:val="32"/>
          <w:lang w:val="en-US" w:eastAsia="zh-CN"/>
        </w:rPr>
      </w:pPr>
    </w:p>
    <w:p>
      <w:pPr>
        <w:rPr>
          <w:rFonts w:hint="eastAsia"/>
          <w:lang w:val="en-US" w:eastAsia="zh-CN"/>
        </w:rPr>
      </w:pPr>
    </w:p>
    <w:p>
      <w:pPr>
        <w:keepNext w:val="0"/>
        <w:keepLines w:val="0"/>
        <w:pageBreakBefore w:val="0"/>
        <w:widowControl w:val="0"/>
        <w:tabs>
          <w:tab w:val="left" w:pos="913"/>
        </w:tabs>
        <w:kinsoku/>
        <w:wordWrap/>
        <w:overflowPunct/>
        <w:topLinePunct w:val="0"/>
        <w:autoSpaceDE/>
        <w:autoSpaceDN/>
        <w:bidi w:val="0"/>
        <w:adjustRightInd/>
        <w:snapToGrid/>
        <w:spacing w:line="560" w:lineRule="exact"/>
        <w:ind w:firstLine="5760" w:firstLineChars="18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梁河县财政局</w:t>
      </w:r>
    </w:p>
    <w:p>
      <w:pPr>
        <w:keepNext w:val="0"/>
        <w:keepLines w:val="0"/>
        <w:pageBreakBefore w:val="0"/>
        <w:widowControl w:val="0"/>
        <w:tabs>
          <w:tab w:val="left" w:pos="913"/>
        </w:tabs>
        <w:kinsoku/>
        <w:wordWrap/>
        <w:overflowPunct/>
        <w:topLinePunct w:val="0"/>
        <w:autoSpaceDE/>
        <w:autoSpaceDN/>
        <w:bidi w:val="0"/>
        <w:adjustRightInd/>
        <w:snapToGrid/>
        <w:spacing w:line="560" w:lineRule="exact"/>
        <w:jc w:val="righ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2024年9月29日</w:t>
      </w:r>
    </w:p>
    <w:p>
      <w:pPr>
        <w:pStyle w:val="2"/>
        <w:rPr>
          <w:rFonts w:hint="eastAsia"/>
          <w:lang w:val="en-US" w:eastAsia="zh-CN"/>
        </w:rPr>
      </w:pPr>
    </w:p>
    <w:p>
      <w:pPr>
        <w:pStyle w:val="2"/>
        <w:rPr>
          <w:rFonts w:hint="eastAsia"/>
          <w:lang w:val="en-US" w:eastAsia="zh-CN"/>
        </w:rPr>
      </w:pPr>
    </w:p>
    <w:p>
      <w:pPr>
        <w:rPr>
          <w:rFonts w:hint="eastAsia" w:ascii="方正仿宋_GBK" w:hAnsi="方正仿宋_GBK" w:eastAsia="方正仿宋_GBK" w:cs="方正仿宋_GBK"/>
          <w:sz w:val="32"/>
          <w:szCs w:val="32"/>
          <w:lang w:val="en-US" w:eastAsia="zh-CN"/>
        </w:rPr>
      </w:pPr>
    </w:p>
    <w:p>
      <w:pPr>
        <w:pStyle w:val="2"/>
        <w:rPr>
          <w:rFonts w:hint="eastAsia" w:ascii="方正仿宋_GBK" w:hAnsi="方正仿宋_GBK" w:eastAsia="方正仿宋_GBK" w:cs="方正仿宋_GBK"/>
          <w:lang w:val="en-US" w:eastAsia="zh-CN"/>
        </w:rPr>
      </w:pPr>
    </w:p>
    <w:p>
      <w:pPr>
        <w:keepNext w:val="0"/>
        <w:keepLines w:val="0"/>
        <w:widowControl/>
        <w:suppressLineNumbers w:val="0"/>
        <w:jc w:val="left"/>
        <w:textAlignment w:val="center"/>
        <w:rPr>
          <w:rFonts w:hint="eastAsia" w:ascii="方正仿宋_GBK" w:hAnsi="方正仿宋_GBK" w:eastAsia="方正仿宋_GBK" w:cs="方正仿宋_GBK"/>
          <w:i w:val="0"/>
          <w:color w:val="000000"/>
          <w:kern w:val="0"/>
          <w:sz w:val="32"/>
          <w:szCs w:val="32"/>
          <w:u w:val="none"/>
          <w:lang w:val="en-US" w:eastAsia="zh-CN" w:bidi="ar"/>
        </w:rPr>
        <w:sectPr>
          <w:footerReference r:id="rId3" w:type="default"/>
          <w:footerReference r:id="rId4" w:type="even"/>
          <w:pgSz w:w="11906" w:h="16838"/>
          <w:pgMar w:top="1440" w:right="1800" w:bottom="1440" w:left="1800" w:header="851" w:footer="992" w:gutter="0"/>
          <w:cols w:space="425" w:num="1"/>
          <w:docGrid w:type="lines" w:linePitch="312" w:charSpace="0"/>
        </w:sectPr>
      </w:pPr>
    </w:p>
    <w:tbl>
      <w:tblPr>
        <w:tblStyle w:val="10"/>
        <w:tblW w:w="141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5"/>
        <w:gridCol w:w="1241"/>
        <w:gridCol w:w="1013"/>
        <w:gridCol w:w="1015"/>
        <w:gridCol w:w="1025"/>
        <w:gridCol w:w="1016"/>
        <w:gridCol w:w="1079"/>
        <w:gridCol w:w="1079"/>
        <w:gridCol w:w="1079"/>
        <w:gridCol w:w="1079"/>
        <w:gridCol w:w="1274"/>
        <w:gridCol w:w="1322"/>
        <w:gridCol w:w="7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5" w:hRule="atLeast"/>
        </w:trPr>
        <w:tc>
          <w:tcPr>
            <w:tcW w:w="117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方正黑体_GBK" w:hAnsi="方正黑体_GBK" w:eastAsia="方正黑体_GBK" w:cs="方正黑体_GBK"/>
                <w:i w:val="0"/>
                <w:iCs w:val="0"/>
                <w:color w:val="000000"/>
                <w:sz w:val="32"/>
                <w:szCs w:val="32"/>
                <w:u w:val="none"/>
              </w:rPr>
            </w:pPr>
            <w:r>
              <w:rPr>
                <w:rFonts w:hint="eastAsia" w:ascii="方正黑体_GBK" w:hAnsi="方正黑体_GBK" w:eastAsia="方正黑体_GBK" w:cs="方正黑体_GBK"/>
                <w:i w:val="0"/>
                <w:iCs w:val="0"/>
                <w:color w:val="000000"/>
                <w:kern w:val="0"/>
                <w:sz w:val="32"/>
                <w:szCs w:val="32"/>
                <w:u w:val="none"/>
                <w:lang w:val="en-US" w:eastAsia="zh-CN" w:bidi="ar"/>
              </w:rPr>
              <w:t>附件1</w:t>
            </w:r>
          </w:p>
        </w:tc>
        <w:tc>
          <w:tcPr>
            <w:tcW w:w="1241" w:type="dxa"/>
            <w:tcBorders>
              <w:top w:val="nil"/>
              <w:left w:val="nil"/>
              <w:bottom w:val="nil"/>
              <w:right w:val="nil"/>
            </w:tcBorders>
            <w:shd w:val="clear" w:color="auto" w:fill="auto"/>
            <w:vAlign w:val="center"/>
          </w:tcPr>
          <w:p>
            <w:pPr>
              <w:rPr>
                <w:rFonts w:hint="eastAsia" w:ascii="方正黑体_GBK" w:hAnsi="方正黑体_GBK" w:eastAsia="方正黑体_GBK" w:cs="方正黑体_GBK"/>
                <w:i w:val="0"/>
                <w:iCs w:val="0"/>
                <w:color w:val="000000"/>
                <w:sz w:val="32"/>
                <w:szCs w:val="32"/>
                <w:u w:val="none"/>
              </w:rPr>
            </w:pPr>
          </w:p>
        </w:tc>
        <w:tc>
          <w:tcPr>
            <w:tcW w:w="1013" w:type="dxa"/>
            <w:tcBorders>
              <w:top w:val="nil"/>
              <w:left w:val="nil"/>
              <w:bottom w:val="nil"/>
              <w:right w:val="nil"/>
            </w:tcBorders>
            <w:shd w:val="clear" w:color="auto" w:fill="auto"/>
            <w:vAlign w:val="center"/>
          </w:tcPr>
          <w:p>
            <w:pPr>
              <w:rPr>
                <w:rFonts w:hint="eastAsia" w:ascii="方正黑体_GBK" w:hAnsi="方正黑体_GBK" w:eastAsia="方正黑体_GBK" w:cs="方正黑体_GBK"/>
                <w:i w:val="0"/>
                <w:iCs w:val="0"/>
                <w:color w:val="000000"/>
                <w:sz w:val="32"/>
                <w:szCs w:val="32"/>
                <w:u w:val="none"/>
              </w:rPr>
            </w:pPr>
          </w:p>
        </w:tc>
        <w:tc>
          <w:tcPr>
            <w:tcW w:w="1015" w:type="dxa"/>
            <w:tcBorders>
              <w:top w:val="nil"/>
              <w:left w:val="nil"/>
              <w:bottom w:val="nil"/>
              <w:right w:val="nil"/>
            </w:tcBorders>
            <w:shd w:val="clear" w:color="auto" w:fill="auto"/>
            <w:vAlign w:val="center"/>
          </w:tcPr>
          <w:p>
            <w:pPr>
              <w:rPr>
                <w:rFonts w:hint="eastAsia" w:ascii="方正黑体_GBK" w:hAnsi="方正黑体_GBK" w:eastAsia="方正黑体_GBK" w:cs="方正黑体_GBK"/>
                <w:i w:val="0"/>
                <w:iCs w:val="0"/>
                <w:color w:val="000000"/>
                <w:sz w:val="32"/>
                <w:szCs w:val="32"/>
                <w:u w:val="none"/>
              </w:rPr>
            </w:pPr>
          </w:p>
        </w:tc>
        <w:tc>
          <w:tcPr>
            <w:tcW w:w="2041" w:type="dxa"/>
            <w:gridSpan w:val="2"/>
            <w:tcBorders>
              <w:top w:val="nil"/>
              <w:left w:val="nil"/>
              <w:bottom w:val="nil"/>
              <w:right w:val="nil"/>
            </w:tcBorders>
            <w:shd w:val="clear" w:color="auto" w:fill="auto"/>
            <w:vAlign w:val="center"/>
          </w:tcPr>
          <w:p>
            <w:pPr>
              <w:rPr>
                <w:rFonts w:hint="eastAsia" w:ascii="方正黑体_GBK" w:hAnsi="方正黑体_GBK" w:eastAsia="方正黑体_GBK" w:cs="方正黑体_GBK"/>
                <w:i w:val="0"/>
                <w:iCs w:val="0"/>
                <w:color w:val="000000"/>
                <w:sz w:val="32"/>
                <w:szCs w:val="32"/>
                <w:u w:val="none"/>
              </w:rPr>
            </w:pPr>
          </w:p>
        </w:tc>
        <w:tc>
          <w:tcPr>
            <w:tcW w:w="1079" w:type="dxa"/>
            <w:tcBorders>
              <w:top w:val="nil"/>
              <w:left w:val="nil"/>
              <w:bottom w:val="nil"/>
              <w:right w:val="nil"/>
            </w:tcBorders>
            <w:shd w:val="clear" w:color="auto" w:fill="auto"/>
            <w:vAlign w:val="center"/>
          </w:tcPr>
          <w:p>
            <w:pPr>
              <w:rPr>
                <w:rFonts w:hint="eastAsia" w:ascii="方正黑体_GBK" w:hAnsi="方正黑体_GBK" w:eastAsia="方正黑体_GBK" w:cs="方正黑体_GBK"/>
                <w:i w:val="0"/>
                <w:iCs w:val="0"/>
                <w:color w:val="000000"/>
                <w:sz w:val="32"/>
                <w:szCs w:val="32"/>
                <w:u w:val="none"/>
              </w:rPr>
            </w:pPr>
          </w:p>
        </w:tc>
        <w:tc>
          <w:tcPr>
            <w:tcW w:w="10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2158"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2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3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77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40" w:hRule="atLeast"/>
        </w:trPr>
        <w:tc>
          <w:tcPr>
            <w:tcW w:w="14168" w:type="dxa"/>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大标宋_GBK" w:hAnsi="方正大标宋_GBK" w:eastAsia="方正大标宋_GBK" w:cs="方正大标宋_GBK"/>
                <w:i w:val="0"/>
                <w:iCs w:val="0"/>
                <w:color w:val="000000"/>
                <w:sz w:val="36"/>
                <w:szCs w:val="36"/>
                <w:u w:val="none"/>
              </w:rPr>
            </w:pPr>
            <w:r>
              <w:rPr>
                <w:rFonts w:hint="eastAsia" w:ascii="方正大标宋_GBK" w:hAnsi="方正大标宋_GBK" w:eastAsia="方正大标宋_GBK" w:cs="方正大标宋_GBK"/>
                <w:i w:val="0"/>
                <w:iCs w:val="0"/>
                <w:color w:val="000000"/>
                <w:kern w:val="0"/>
                <w:sz w:val="36"/>
                <w:szCs w:val="36"/>
                <w:u w:val="none"/>
                <w:lang w:val="en-US" w:eastAsia="zh-CN" w:bidi="ar"/>
              </w:rPr>
              <w:t>2024年已脱贫人口重点人群和农村低收入人群家庭医生签约服务</w:t>
            </w:r>
            <w:r>
              <w:rPr>
                <w:rFonts w:hint="eastAsia" w:ascii="方正大标宋_GBK" w:hAnsi="方正大标宋_GBK" w:eastAsia="方正大标宋_GBK" w:cs="方正大标宋_GBK"/>
                <w:i w:val="0"/>
                <w:iCs w:val="0"/>
                <w:color w:val="000000"/>
                <w:kern w:val="0"/>
                <w:sz w:val="36"/>
                <w:szCs w:val="36"/>
                <w:u w:val="none"/>
                <w:lang w:val="en-US" w:eastAsia="zh-CN" w:bidi="ar"/>
              </w:rPr>
              <w:br w:type="textWrapping"/>
            </w:r>
            <w:r>
              <w:rPr>
                <w:rFonts w:hint="eastAsia" w:ascii="方正大标宋_GBK" w:hAnsi="方正大标宋_GBK" w:eastAsia="方正大标宋_GBK" w:cs="方正大标宋_GBK"/>
                <w:i w:val="0"/>
                <w:iCs w:val="0"/>
                <w:color w:val="000000"/>
                <w:kern w:val="0"/>
                <w:sz w:val="36"/>
                <w:szCs w:val="36"/>
                <w:u w:val="none"/>
                <w:lang w:val="en-US" w:eastAsia="zh-CN" w:bidi="ar"/>
              </w:rPr>
              <w:t>个人缴费省级补助结算资金分配表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1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24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2041"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2158"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2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3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77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1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县市</w:t>
            </w:r>
          </w:p>
        </w:tc>
        <w:tc>
          <w:tcPr>
            <w:tcW w:w="32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已脱贫人员签约情况</w:t>
            </w:r>
          </w:p>
        </w:tc>
        <w:tc>
          <w:tcPr>
            <w:tcW w:w="20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新签约的农村低收入人口数</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补助人数</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（人）</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补助标准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（元/人）</w:t>
            </w:r>
          </w:p>
        </w:tc>
        <w:tc>
          <w:tcPr>
            <w:tcW w:w="21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省级承担比例</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w:t>
            </w:r>
          </w:p>
        </w:tc>
        <w:tc>
          <w:tcPr>
            <w:tcW w:w="12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年度应补助资金</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（万元）</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提前下达</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（万元）</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本次下达</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60" w:hRule="atLeast"/>
        </w:trPr>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已脱贫人口签约总数</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其中：五类重点人群数</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其中：非五类重点人群中农村低收入人口数</w:t>
            </w:r>
          </w:p>
        </w:tc>
        <w:tc>
          <w:tcPr>
            <w:tcW w:w="20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1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a</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b</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c</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d</w:t>
            </w:r>
          </w:p>
        </w:tc>
        <w:tc>
          <w:tcPr>
            <w:tcW w:w="2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e</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f=c+d+e</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g</w:t>
            </w:r>
          </w:p>
        </w:tc>
        <w:tc>
          <w:tcPr>
            <w:tcW w:w="2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h</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i=f*g*h</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j</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k=i-j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梁河县</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22819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7591</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3522</w:t>
            </w:r>
          </w:p>
        </w:tc>
        <w:tc>
          <w:tcPr>
            <w:tcW w:w="2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11126</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11.35</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1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24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2041"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2158"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2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3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77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80" w:hRule="atLeast"/>
        </w:trPr>
        <w:tc>
          <w:tcPr>
            <w:tcW w:w="14168" w:type="dxa"/>
            <w:gridSpan w:val="1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lang w:val="en-US" w:eastAsia="zh-CN"/>
              </w:rPr>
              <w:t>备注：</w:t>
            </w:r>
            <w:r>
              <w:rPr>
                <w:rFonts w:hint="eastAsia"/>
                <w:lang w:val="en-US" w:eastAsia="zh-CN"/>
              </w:rPr>
              <w:br w:type="textWrapping"/>
            </w:r>
            <w:r>
              <w:rPr>
                <w:rFonts w:hint="eastAsia"/>
                <w:lang w:val="en-US" w:eastAsia="zh-CN"/>
              </w:rPr>
              <w:t>　　1.五类重点人群：65岁以上老年人、0-6岁儿童、孕产妇、残疾人、慢病（高血压、糖尿病、肺结核、严重精神障碍）患者。</w:t>
            </w:r>
            <w:r>
              <w:rPr>
                <w:rFonts w:hint="eastAsia"/>
                <w:lang w:val="en-US" w:eastAsia="zh-CN"/>
              </w:rPr>
              <w:br w:type="textWrapping"/>
            </w:r>
            <w:r>
              <w:rPr>
                <w:rFonts w:hint="eastAsia"/>
                <w:lang w:val="en-US" w:eastAsia="zh-CN"/>
              </w:rPr>
              <w:t>　　2.农村低收入人口：边缘易致贫户、脱贫不稳定户、突发严重困难户、农村低保户。</w:t>
            </w:r>
            <w:r>
              <w:rPr>
                <w:rFonts w:hint="eastAsia"/>
                <w:lang w:val="en-US" w:eastAsia="zh-CN"/>
              </w:rPr>
              <w:br w:type="textWrapping"/>
            </w:r>
            <w:r>
              <w:rPr>
                <w:rFonts w:hint="eastAsia"/>
                <w:lang w:val="en-US" w:eastAsia="zh-CN"/>
              </w:rPr>
              <w:t>　　3.新签约农村低收入人口：非已脱贫人员中的农村低收入人口。</w:t>
            </w:r>
          </w:p>
          <w:p>
            <w:pPr>
              <w:pStyle w:val="2"/>
              <w:rPr>
                <w:rFonts w:hint="eastAsia"/>
                <w:lang w:val="en-US" w:eastAsia="zh-CN"/>
              </w:rPr>
            </w:pPr>
          </w:p>
          <w:p>
            <w:pPr>
              <w:rPr>
                <w:rFonts w:hint="eastAsia"/>
                <w:lang w:val="en-US" w:eastAsia="zh-CN"/>
              </w:rPr>
            </w:pPr>
          </w:p>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771" w:type="dxa"/>
          <w:trHeight w:val="405" w:hRule="atLeast"/>
        </w:trPr>
        <w:tc>
          <w:tcPr>
            <w:tcW w:w="2416"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方正黑体_GBK" w:hAnsi="方正黑体_GBK" w:eastAsia="方正黑体_GBK" w:cs="方正黑体_GBK"/>
                <w:i w:val="0"/>
                <w:iCs w:val="0"/>
                <w:color w:val="000000"/>
                <w:sz w:val="32"/>
                <w:szCs w:val="32"/>
                <w:u w:val="none"/>
                <w:lang w:val="en-US"/>
              </w:rPr>
            </w:pPr>
            <w:r>
              <w:rPr>
                <w:rFonts w:hint="eastAsia" w:ascii="方正黑体_GBK" w:hAnsi="方正黑体_GBK" w:eastAsia="方正黑体_GBK" w:cs="方正黑体_GBK"/>
                <w:i w:val="0"/>
                <w:iCs w:val="0"/>
                <w:color w:val="000000"/>
                <w:kern w:val="0"/>
                <w:sz w:val="32"/>
                <w:szCs w:val="32"/>
                <w:u w:val="none"/>
                <w:lang w:val="en-US" w:eastAsia="zh-CN" w:bidi="ar"/>
              </w:rPr>
              <w:t>附件1-1</w:t>
            </w:r>
          </w:p>
        </w:tc>
        <w:tc>
          <w:tcPr>
            <w:tcW w:w="1013" w:type="dxa"/>
            <w:tcBorders>
              <w:top w:val="nil"/>
              <w:left w:val="nil"/>
              <w:bottom w:val="nil"/>
              <w:right w:val="nil"/>
            </w:tcBorders>
            <w:shd w:val="clear" w:color="auto" w:fill="auto"/>
            <w:vAlign w:val="center"/>
          </w:tcPr>
          <w:p>
            <w:pPr>
              <w:rPr>
                <w:rFonts w:hint="eastAsia" w:ascii="方正黑体_GBK" w:hAnsi="方正黑体_GBK" w:eastAsia="方正黑体_GBK" w:cs="方正黑体_GBK"/>
                <w:i w:val="0"/>
                <w:iCs w:val="0"/>
                <w:color w:val="000000"/>
                <w:sz w:val="32"/>
                <w:szCs w:val="32"/>
                <w:u w:val="none"/>
              </w:rPr>
            </w:pPr>
          </w:p>
        </w:tc>
        <w:tc>
          <w:tcPr>
            <w:tcW w:w="1015" w:type="dxa"/>
            <w:tcBorders>
              <w:top w:val="nil"/>
              <w:left w:val="nil"/>
              <w:bottom w:val="nil"/>
              <w:right w:val="nil"/>
            </w:tcBorders>
            <w:shd w:val="clear" w:color="auto" w:fill="auto"/>
            <w:vAlign w:val="center"/>
          </w:tcPr>
          <w:p>
            <w:pPr>
              <w:rPr>
                <w:rFonts w:hint="eastAsia" w:ascii="方正黑体_GBK" w:hAnsi="方正黑体_GBK" w:eastAsia="方正黑体_GBK" w:cs="方正黑体_GBK"/>
                <w:i w:val="0"/>
                <w:iCs w:val="0"/>
                <w:color w:val="000000"/>
                <w:sz w:val="32"/>
                <w:szCs w:val="32"/>
                <w:u w:val="none"/>
              </w:rPr>
            </w:pPr>
          </w:p>
        </w:tc>
        <w:tc>
          <w:tcPr>
            <w:tcW w:w="1025" w:type="dxa"/>
            <w:tcBorders>
              <w:top w:val="nil"/>
              <w:left w:val="nil"/>
              <w:bottom w:val="nil"/>
              <w:right w:val="nil"/>
            </w:tcBorders>
            <w:shd w:val="clear" w:color="auto" w:fill="auto"/>
            <w:vAlign w:val="center"/>
          </w:tcPr>
          <w:p>
            <w:pPr>
              <w:rPr>
                <w:rFonts w:hint="eastAsia" w:ascii="方正黑体_GBK" w:hAnsi="方正黑体_GBK" w:eastAsia="方正黑体_GBK" w:cs="方正黑体_GBK"/>
                <w:i w:val="0"/>
                <w:iCs w:val="0"/>
                <w:color w:val="000000"/>
                <w:sz w:val="32"/>
                <w:szCs w:val="32"/>
                <w:u w:val="none"/>
              </w:rPr>
            </w:pPr>
          </w:p>
        </w:tc>
        <w:tc>
          <w:tcPr>
            <w:tcW w:w="1016" w:type="dxa"/>
            <w:tcBorders>
              <w:top w:val="nil"/>
              <w:left w:val="nil"/>
              <w:bottom w:val="nil"/>
              <w:right w:val="nil"/>
            </w:tcBorders>
            <w:shd w:val="clear" w:color="auto" w:fill="auto"/>
            <w:vAlign w:val="center"/>
          </w:tcPr>
          <w:p>
            <w:pPr>
              <w:rPr>
                <w:rFonts w:hint="eastAsia" w:ascii="方正黑体_GBK" w:hAnsi="方正黑体_GBK" w:eastAsia="方正黑体_GBK" w:cs="方正黑体_GBK"/>
                <w:i w:val="0"/>
                <w:iCs w:val="0"/>
                <w:color w:val="000000"/>
                <w:sz w:val="32"/>
                <w:szCs w:val="32"/>
                <w:u w:val="none"/>
              </w:rPr>
            </w:pPr>
          </w:p>
        </w:tc>
        <w:tc>
          <w:tcPr>
            <w:tcW w:w="1079" w:type="dxa"/>
            <w:tcBorders>
              <w:top w:val="nil"/>
              <w:left w:val="nil"/>
              <w:bottom w:val="nil"/>
              <w:right w:val="nil"/>
            </w:tcBorders>
            <w:shd w:val="clear" w:color="auto" w:fill="auto"/>
            <w:vAlign w:val="center"/>
          </w:tcPr>
          <w:p>
            <w:pPr>
              <w:rPr>
                <w:rFonts w:hint="eastAsia" w:ascii="方正黑体_GBK" w:hAnsi="方正黑体_GBK" w:eastAsia="方正黑体_GBK" w:cs="方正黑体_GBK"/>
                <w:i w:val="0"/>
                <w:iCs w:val="0"/>
                <w:color w:val="000000"/>
                <w:sz w:val="32"/>
                <w:szCs w:val="32"/>
                <w:u w:val="none"/>
              </w:rPr>
            </w:pPr>
          </w:p>
        </w:tc>
        <w:tc>
          <w:tcPr>
            <w:tcW w:w="10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2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3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771" w:type="dxa"/>
          <w:trHeight w:val="1040" w:hRule="atLeast"/>
        </w:trPr>
        <w:tc>
          <w:tcPr>
            <w:tcW w:w="13397"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大标宋_GBK" w:hAnsi="方正大标宋_GBK" w:eastAsia="方正大标宋_GBK" w:cs="方正大标宋_GBK"/>
                <w:i w:val="0"/>
                <w:iCs w:val="0"/>
                <w:color w:val="000000"/>
                <w:sz w:val="36"/>
                <w:szCs w:val="36"/>
                <w:u w:val="none"/>
              </w:rPr>
            </w:pPr>
            <w:r>
              <w:rPr>
                <w:rFonts w:hint="eastAsia" w:ascii="方正大标宋_GBK" w:hAnsi="方正大标宋_GBK" w:eastAsia="方正大标宋_GBK" w:cs="方正大标宋_GBK"/>
                <w:i w:val="0"/>
                <w:iCs w:val="0"/>
                <w:color w:val="000000"/>
                <w:kern w:val="0"/>
                <w:sz w:val="36"/>
                <w:szCs w:val="36"/>
                <w:u w:val="none"/>
                <w:lang w:val="en-US" w:eastAsia="zh-CN" w:bidi="ar"/>
              </w:rPr>
              <w:t>2024年已脱贫人口重点人群和农村低收入人群家庭医生签约服务</w:t>
            </w:r>
            <w:r>
              <w:rPr>
                <w:rFonts w:hint="eastAsia" w:ascii="方正大标宋_GBK" w:hAnsi="方正大标宋_GBK" w:eastAsia="方正大标宋_GBK" w:cs="方正大标宋_GBK"/>
                <w:i w:val="0"/>
                <w:iCs w:val="0"/>
                <w:color w:val="000000"/>
                <w:kern w:val="0"/>
                <w:sz w:val="36"/>
                <w:szCs w:val="36"/>
                <w:u w:val="none"/>
                <w:lang w:val="en-US" w:eastAsia="zh-CN" w:bidi="ar"/>
              </w:rPr>
              <w:br w:type="textWrapping"/>
            </w:r>
            <w:r>
              <w:rPr>
                <w:rFonts w:hint="eastAsia" w:ascii="方正大标宋_GBK" w:hAnsi="方正大标宋_GBK" w:eastAsia="方正大标宋_GBK" w:cs="方正大标宋_GBK"/>
                <w:i w:val="0"/>
                <w:iCs w:val="0"/>
                <w:color w:val="000000"/>
                <w:kern w:val="0"/>
                <w:sz w:val="36"/>
                <w:szCs w:val="36"/>
                <w:u w:val="none"/>
                <w:lang w:val="en-US" w:eastAsia="zh-CN" w:bidi="ar"/>
              </w:rPr>
              <w:t>个人缴费省级补助结算资金分配表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771" w:type="dxa"/>
          <w:trHeight w:val="460" w:hRule="atLeast"/>
        </w:trPr>
        <w:tc>
          <w:tcPr>
            <w:tcW w:w="24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预算单位</w:t>
            </w:r>
          </w:p>
        </w:tc>
        <w:tc>
          <w:tcPr>
            <w:tcW w:w="30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已脱贫人员签约情况</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新签约的农村低收入人口数</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补助人数</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（人）</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补助标准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（元/人）</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省级承担比例</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年度应补助资金</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（万元）</w:t>
            </w:r>
          </w:p>
        </w:tc>
        <w:tc>
          <w:tcPr>
            <w:tcW w:w="12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提前下达</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（万元）</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本次下达</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771" w:type="dxa"/>
          <w:trHeight w:val="1560" w:hRule="atLeast"/>
        </w:trPr>
        <w:tc>
          <w:tcPr>
            <w:tcW w:w="24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已脱贫人口签约总数</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其中：五类重点人群数</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其中：非五类重点人群中农村低收入人口数</w:t>
            </w: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771" w:type="dxa"/>
          <w:trHeight w:val="480" w:hRule="atLeast"/>
        </w:trPr>
        <w:tc>
          <w:tcPr>
            <w:tcW w:w="2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b</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c</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d</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e</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f=c+d+e</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g</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h</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i=f*g*h</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j</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k=i-j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771" w:type="dxa"/>
          <w:trHeight w:val="600" w:hRule="atLeast"/>
        </w:trPr>
        <w:tc>
          <w:tcPr>
            <w:tcW w:w="2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遮岛社区卫生服务中心</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1436</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607</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0.437</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771" w:type="dxa"/>
          <w:trHeight w:val="600" w:hRule="atLeast"/>
        </w:trPr>
        <w:tc>
          <w:tcPr>
            <w:tcW w:w="2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芒东镇中心卫生院</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3233</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1358</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1919</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1.9574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1.3796</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0.5778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771" w:type="dxa"/>
          <w:trHeight w:val="600" w:hRule="atLeast"/>
        </w:trPr>
        <w:tc>
          <w:tcPr>
            <w:tcW w:w="2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勐养镇卫生院</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3451</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1267</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531</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1799</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1.2934</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771" w:type="dxa"/>
          <w:trHeight w:val="600" w:hRule="atLeast"/>
        </w:trPr>
        <w:tc>
          <w:tcPr>
            <w:tcW w:w="2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平山乡卫生院</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3223</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1766</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1.8014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1.2696</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771" w:type="dxa"/>
          <w:trHeight w:val="600" w:hRule="atLeast"/>
        </w:trPr>
        <w:tc>
          <w:tcPr>
            <w:tcW w:w="2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小厂乡卫生院</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1312</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749</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0.932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0.657</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771" w:type="dxa"/>
          <w:trHeight w:val="600" w:hRule="atLeast"/>
        </w:trPr>
        <w:tc>
          <w:tcPr>
            <w:tcW w:w="2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大厂乡卫生院</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3036</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776</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1136</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1.1588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0.8168</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771" w:type="dxa"/>
          <w:trHeight w:val="600" w:hRule="atLeast"/>
        </w:trPr>
        <w:tc>
          <w:tcPr>
            <w:tcW w:w="2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九保阿昌族乡卫生院</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1480</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739</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936</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0.9546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0.6728</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0.2818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771" w:type="dxa"/>
          <w:trHeight w:val="600" w:hRule="atLeast"/>
        </w:trPr>
        <w:tc>
          <w:tcPr>
            <w:tcW w:w="2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曩宋中心卫生院</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3220</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619</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0.9936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0.7004</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0.2932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771" w:type="dxa"/>
          <w:trHeight w:val="600" w:hRule="atLeast"/>
        </w:trPr>
        <w:tc>
          <w:tcPr>
            <w:tcW w:w="2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河西乡卫生院</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2428</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1.0972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0.7734</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771" w:type="dxa"/>
          <w:trHeight w:val="600" w:hRule="atLeast"/>
        </w:trPr>
        <w:tc>
          <w:tcPr>
            <w:tcW w:w="2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22819</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7591</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3522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11126</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771" w:type="dxa"/>
          <w:trHeight w:val="270" w:hRule="atLeast"/>
        </w:trPr>
        <w:tc>
          <w:tcPr>
            <w:tcW w:w="2416"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2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3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771" w:type="dxa"/>
          <w:trHeight w:val="1580" w:hRule="atLeast"/>
        </w:trPr>
        <w:tc>
          <w:tcPr>
            <w:tcW w:w="13397"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1.五类重点人群：65岁以上老年人、0-6岁儿童、孕产妇、残疾人、慢病（高血压、糖尿病、肺结核、严重精神障碍）患者。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2.农村低收入人口：边缘易致贫户、脱贫不稳定户、突发严重困难户、农村低保户。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3.新签约农村低收入人口：非已脱贫人员中的农村低收入人口。</w:t>
            </w:r>
          </w:p>
        </w:tc>
      </w:tr>
    </w:tbl>
    <w:p>
      <w:pPr>
        <w:rPr>
          <w:rFonts w:hint="eastAsia" w:ascii="方正仿宋_GBK" w:hAnsi="方正仿宋_GBK" w:eastAsia="方正仿宋_GBK" w:cs="方正仿宋_GBK"/>
          <w:sz w:val="21"/>
          <w:szCs w:val="21"/>
          <w:lang w:val="en-US" w:eastAsia="zh-CN"/>
        </w:rPr>
      </w:pPr>
    </w:p>
    <w:p>
      <w:pPr>
        <w:pStyle w:val="2"/>
        <w:rPr>
          <w:rFonts w:hint="eastAsia" w:ascii="方正仿宋_GBK" w:hAnsi="方正仿宋_GBK" w:eastAsia="方正仿宋_GBK" w:cs="方正仿宋_GBK"/>
          <w:sz w:val="21"/>
          <w:szCs w:val="21"/>
          <w:lang w:val="en-US" w:eastAsia="zh-CN"/>
        </w:rPr>
      </w:pPr>
    </w:p>
    <w:p>
      <w:pPr>
        <w:rPr>
          <w:rFonts w:hint="eastAsia" w:ascii="方正仿宋_GBK" w:hAnsi="方正仿宋_GBK" w:eastAsia="方正仿宋_GBK" w:cs="方正仿宋_GBK"/>
          <w:sz w:val="21"/>
          <w:szCs w:val="21"/>
          <w:lang w:val="en-US" w:eastAsia="zh-CN"/>
        </w:rPr>
      </w:pPr>
    </w:p>
    <w:p>
      <w:pPr>
        <w:pStyle w:val="2"/>
        <w:rPr>
          <w:rFonts w:hint="eastAsia" w:ascii="方正仿宋_GBK" w:hAnsi="方正仿宋_GBK" w:eastAsia="方正仿宋_GBK" w:cs="方正仿宋_GBK"/>
          <w:sz w:val="21"/>
          <w:szCs w:val="21"/>
          <w:lang w:val="en-US" w:eastAsia="zh-CN"/>
        </w:rPr>
      </w:pPr>
    </w:p>
    <w:p>
      <w:pPr>
        <w:rPr>
          <w:rFonts w:hint="eastAsia" w:ascii="方正仿宋_GBK" w:hAnsi="方正仿宋_GBK" w:eastAsia="方正仿宋_GBK" w:cs="方正仿宋_GBK"/>
          <w:sz w:val="21"/>
          <w:szCs w:val="21"/>
          <w:lang w:val="en-US" w:eastAsia="zh-CN"/>
        </w:rPr>
      </w:pPr>
    </w:p>
    <w:p>
      <w:pPr>
        <w:rPr>
          <w:rFonts w:hint="eastAsia"/>
          <w:lang w:val="en-US" w:eastAsia="zh-CN"/>
        </w:rPr>
        <w:sectPr>
          <w:pgSz w:w="16838" w:h="11906" w:orient="landscape"/>
          <w:pgMar w:top="1803" w:right="1440" w:bottom="1803" w:left="1440" w:header="851" w:footer="992" w:gutter="0"/>
          <w:cols w:space="0" w:num="1"/>
          <w:rtlGutter w:val="0"/>
          <w:docGrid w:type="lines" w:linePitch="319" w:charSpace="0"/>
        </w:sectPr>
      </w:pPr>
    </w:p>
    <w:tbl>
      <w:tblPr>
        <w:tblStyle w:val="10"/>
        <w:tblW w:w="105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2"/>
        <w:gridCol w:w="962"/>
        <w:gridCol w:w="1157"/>
        <w:gridCol w:w="1065"/>
        <w:gridCol w:w="2116"/>
        <w:gridCol w:w="1064"/>
        <w:gridCol w:w="236"/>
        <w:gridCol w:w="778"/>
        <w:gridCol w:w="176"/>
        <w:gridCol w:w="568"/>
        <w:gridCol w:w="744"/>
        <w:gridCol w:w="7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5" w:hRule="atLeast"/>
        </w:trPr>
        <w:tc>
          <w:tcPr>
            <w:tcW w:w="7326" w:type="dxa"/>
            <w:gridSpan w:val="6"/>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r>
              <w:rPr>
                <w:rFonts w:hint="eastAsia" w:ascii="方正黑体_GBK" w:hAnsi="方正黑体_GBK" w:eastAsia="方正黑体_GBK" w:cs="方正黑体_GBK"/>
                <w:i w:val="0"/>
                <w:iCs w:val="0"/>
                <w:color w:val="000000"/>
                <w:kern w:val="0"/>
                <w:sz w:val="32"/>
                <w:szCs w:val="32"/>
                <w:u w:val="none"/>
                <w:lang w:val="en-US" w:eastAsia="zh-CN" w:bidi="ar"/>
              </w:rPr>
              <w:t>附件2</w:t>
            </w:r>
          </w:p>
        </w:tc>
        <w:tc>
          <w:tcPr>
            <w:tcW w:w="2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77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744"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74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7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2078" w:type="dxa"/>
          <w:trHeight w:val="1260" w:hRule="atLeast"/>
        </w:trPr>
        <w:tc>
          <w:tcPr>
            <w:tcW w:w="8516"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0"/>
                <w:szCs w:val="40"/>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2024年已脱贫人口重点人群和农村低收入人群家庭医生签约服务个人缴费补助资金绩效目标表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3"/>
          <w:wAfter w:w="2078" w:type="dxa"/>
          <w:trHeight w:val="538" w:hRule="atLeast"/>
        </w:trPr>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专项名称</w:t>
            </w:r>
          </w:p>
        </w:tc>
        <w:tc>
          <w:tcPr>
            <w:tcW w:w="65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已脱贫人口重点人群和农村低收入人群家庭医生签约服务个人缴费补助资金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2078" w:type="dxa"/>
          <w:trHeight w:val="300" w:hRule="atLeast"/>
        </w:trPr>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州级财政部门</w:t>
            </w:r>
          </w:p>
        </w:tc>
        <w:tc>
          <w:tcPr>
            <w:tcW w:w="2222"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德宏州财政局</w:t>
            </w:r>
          </w:p>
        </w:tc>
        <w:tc>
          <w:tcPr>
            <w:tcW w:w="211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州级主管部门</w:t>
            </w:r>
          </w:p>
        </w:tc>
        <w:tc>
          <w:tcPr>
            <w:tcW w:w="22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德宏州卫生健康委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2078" w:type="dxa"/>
          <w:trHeight w:val="340" w:hRule="atLeast"/>
        </w:trPr>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县市财政部门</w:t>
            </w:r>
          </w:p>
        </w:tc>
        <w:tc>
          <w:tcPr>
            <w:tcW w:w="2222"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县市财政局</w:t>
            </w:r>
          </w:p>
        </w:tc>
        <w:tc>
          <w:tcPr>
            <w:tcW w:w="211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县市级主管部门</w:t>
            </w:r>
          </w:p>
        </w:tc>
        <w:tc>
          <w:tcPr>
            <w:tcW w:w="22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县市卫生健康局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3"/>
          <w:wAfter w:w="2078" w:type="dxa"/>
          <w:trHeight w:val="3920" w:hRule="atLeast"/>
        </w:trPr>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年度目标</w:t>
            </w:r>
          </w:p>
        </w:tc>
        <w:tc>
          <w:tcPr>
            <w:tcW w:w="65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贯彻落实党中央、国务院和省委、省政府关于实现巩固拓展脱贫攻坚成果同乡村振兴有效衔接的决策部署，巩固基本医疗有保障成果，推进健康乡村建设要求，签约的脱贫人口中符合4类重点人群和4种慢病患者以及农村低收入人口（农村低保对象、农村特困人员、农村易返贫致贫人口、突发严重困难户）家庭医生签约服务个人支付的12元，由省财政和州（市）财政按照《云南省医疗卫生领域财政事权和支出责任划分改革实施方案》中明确的比例承担。家庭医生签约服务费主要用于保障家庭医生团队提供服务的报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持续做好脱贫人口家庭医生签约服务，聚焦农村常住脱贫人口和农村低收入人口（农村低保对象、农村特困人员、农村易返贫致贫口、突发严重困难户)中的65岁以上老年人、0-6岁儿童、孕产妇、残疾人4类重点人群和慢病（高血压、糖尿病、肺结核、严重精神障碍)患者签約，提供公共卫生、慢病管理、健康咨询和中医干预等综合服务，做到“签约一人、做实一人”，签约家庭医生的农村低收入人口高血压、糖尿病、肺结核、严重精神障碍的规范管理率达到90％以上。原则上不对签约数量作要求，不盲求签约率，有条件的地区，结合实际扩大签约服务重点人群或慢病管理范围</w:t>
            </w: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3"/>
          <w:wAfter w:w="2078" w:type="dxa"/>
          <w:trHeight w:val="310" w:hRule="atLeast"/>
        </w:trPr>
        <w:tc>
          <w:tcPr>
            <w:tcW w:w="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w:t>
            </w: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424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11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2078" w:type="dxa"/>
          <w:trHeight w:val="340" w:hRule="atLeas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2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梁河县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2078" w:type="dxa"/>
          <w:trHeight w:val="380" w:hRule="atLeast"/>
        </w:trPr>
        <w:tc>
          <w:tcPr>
            <w:tcW w:w="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w:t>
            </w: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重点监测对象签约率</w:t>
            </w:r>
          </w:p>
        </w:tc>
        <w:tc>
          <w:tcPr>
            <w:tcW w:w="11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2078" w:type="dxa"/>
          <w:trHeight w:val="493" w:hRule="atLeas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脱贫人口和重点监测对象受益人数（万人）</w:t>
            </w:r>
          </w:p>
        </w:tc>
        <w:tc>
          <w:tcPr>
            <w:tcW w:w="11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2078" w:type="dxa"/>
          <w:trHeight w:val="380" w:hRule="atLeas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已签约高血压、糖尿病患者规范管理率</w:t>
            </w:r>
          </w:p>
        </w:tc>
        <w:tc>
          <w:tcPr>
            <w:tcW w:w="11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3"/>
          <w:wAfter w:w="2078" w:type="dxa"/>
          <w:trHeight w:val="450" w:hRule="atLeas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服务团队考核兑付及时率</w:t>
            </w:r>
          </w:p>
        </w:tc>
        <w:tc>
          <w:tcPr>
            <w:tcW w:w="11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2078" w:type="dxa"/>
          <w:trHeight w:val="475" w:hRule="atLeas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签约对象满意度</w:t>
            </w:r>
          </w:p>
        </w:tc>
        <w:tc>
          <w:tcPr>
            <w:tcW w:w="11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2078" w:type="dxa"/>
          <w:trHeight w:val="915" w:hRule="atLeas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已脱贫困人口和低收入人群家庭医生签约服务制度知晓率</w:t>
            </w:r>
          </w:p>
        </w:tc>
        <w:tc>
          <w:tcPr>
            <w:tcW w:w="11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r>
    </w:tbl>
    <w:p>
      <w:pPr>
        <w:pStyle w:val="2"/>
        <w:rPr>
          <w:rFonts w:hint="eastAsia"/>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方正黑体_GBK">
    <w:altName w:val="微软雅黑"/>
    <w:panose1 w:val="02000000000000000000"/>
    <w:charset w:val="86"/>
    <w:family w:val="auto"/>
    <w:pitch w:val="default"/>
    <w:sig w:usb0="00000000" w:usb1="00000000" w:usb2="00082016" w:usb3="00000000" w:csb0="00040001" w:csb1="00000000"/>
  </w:font>
  <w:font w:name="方正大标宋_GBK">
    <w:altName w:val="宋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hint="eastAsia"/>
      </w:rPr>
    </w:pPr>
    <w:r>
      <w:rPr>
        <w:rStyle w:val="9"/>
        <w:rFonts w:hint="eastAsia"/>
        <w:color w:val="FFFFFF"/>
      </w:rPr>
      <w:t>——</w:t>
    </w:r>
    <w:r>
      <w:rPr>
        <w:rStyle w:val="9"/>
        <w:rFonts w:hint="eastAsia"/>
        <w:b/>
        <w:sz w:val="28"/>
        <w:szCs w:val="28"/>
      </w:rPr>
      <w:t>—</w:t>
    </w:r>
    <w:r>
      <w:rPr>
        <w:rStyle w:val="9"/>
        <w:rFonts w:hint="eastAsia"/>
        <w:color w:val="FFFFFF"/>
      </w:rPr>
      <w:t>—</w:t>
    </w:r>
    <w:r>
      <w:rPr>
        <w:rFonts w:ascii="宋体" w:hAnsi="宋体"/>
        <w:b/>
        <w:sz w:val="28"/>
        <w:szCs w:val="28"/>
      </w:rPr>
      <w:fldChar w:fldCharType="begin"/>
    </w:r>
    <w:r>
      <w:rPr>
        <w:rStyle w:val="9"/>
        <w:rFonts w:ascii="宋体" w:hAnsi="宋体"/>
        <w:b/>
        <w:sz w:val="28"/>
        <w:szCs w:val="28"/>
      </w:rPr>
      <w:instrText xml:space="preserve">PAGE  </w:instrText>
    </w:r>
    <w:r>
      <w:rPr>
        <w:rFonts w:ascii="宋体" w:hAnsi="宋体"/>
        <w:b/>
        <w:sz w:val="28"/>
        <w:szCs w:val="28"/>
      </w:rPr>
      <w:fldChar w:fldCharType="separate"/>
    </w:r>
    <w:r>
      <w:rPr>
        <w:rStyle w:val="9"/>
        <w:rFonts w:ascii="宋体" w:hAnsi="宋体"/>
        <w:b/>
        <w:sz w:val="28"/>
        <w:szCs w:val="28"/>
      </w:rPr>
      <w:t>2</w:t>
    </w:r>
    <w:r>
      <w:rPr>
        <w:rFonts w:ascii="宋体" w:hAnsi="宋体"/>
        <w:b/>
        <w:sz w:val="28"/>
        <w:szCs w:val="28"/>
      </w:rPr>
      <w:fldChar w:fldCharType="end"/>
    </w:r>
    <w:r>
      <w:rPr>
        <w:rStyle w:val="9"/>
        <w:rFonts w:hint="eastAsia"/>
        <w:color w:val="FFFFFF"/>
      </w:rPr>
      <w:t>—</w:t>
    </w:r>
    <w:r>
      <w:rPr>
        <w:rStyle w:val="9"/>
        <w:rFonts w:hint="eastAsia"/>
        <w:b/>
        <w:sz w:val="28"/>
        <w:szCs w:val="28"/>
      </w:rPr>
      <w:t>—</w:t>
    </w:r>
    <w:r>
      <w:rPr>
        <w:rStyle w:val="9"/>
        <w:rFonts w:hint="eastAsia"/>
        <w:color w:val="FFFFFF"/>
      </w:rPr>
      <w:t>——</w:t>
    </w:r>
  </w:p>
  <w:p>
    <w:pPr>
      <w:pStyle w:val="4"/>
      <w:ind w:right="360" w:firstLine="360"/>
      <w:rPr>
        <w:rStyle w:val="9"/>
        <w:szCs w:val="28"/>
      </w:rPr>
    </w:pPr>
  </w:p>
  <w:p>
    <w:pPr>
      <w:pStyle w:val="4"/>
      <w:ind w:right="360" w:firstLine="360"/>
      <w:rPr>
        <w:rStyle w:val="9"/>
        <w:szCs w:val="28"/>
      </w:rPr>
    </w:pP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771" w:y="-466"/>
      <w:rPr>
        <w:rStyle w:val="9"/>
        <w:rFonts w:hint="eastAsia" w:ascii="宋体" w:hAnsi="宋体"/>
        <w:sz w:val="28"/>
        <w:szCs w:val="28"/>
      </w:rPr>
    </w:pPr>
    <w:r>
      <w:rPr>
        <w:rStyle w:val="9"/>
        <w:rFonts w:hint="eastAsia"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2</w:t>
    </w:r>
    <w:r>
      <w:rPr>
        <w:rFonts w:ascii="宋体" w:hAnsi="宋体"/>
        <w:sz w:val="28"/>
        <w:szCs w:val="28"/>
      </w:rPr>
      <w:fldChar w:fldCharType="end"/>
    </w:r>
    <w:r>
      <w:rPr>
        <w:rStyle w:val="9"/>
        <w:rFonts w:hint="eastAsia" w:ascii="宋体" w:hAnsi="宋体"/>
        <w:sz w:val="28"/>
        <w:szCs w:val="28"/>
      </w:rPr>
      <w:t xml:space="preserve">  —</w:t>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zNjI3ODBlYTY1Y2M4M2U2YTM5ODhkNGQ0MThhMTAifQ=="/>
  </w:docVars>
  <w:rsids>
    <w:rsidRoot w:val="001105C7"/>
    <w:rsid w:val="000958C7"/>
    <w:rsid w:val="000B1D49"/>
    <w:rsid w:val="001105C7"/>
    <w:rsid w:val="00375127"/>
    <w:rsid w:val="00587320"/>
    <w:rsid w:val="00686E4A"/>
    <w:rsid w:val="007F382E"/>
    <w:rsid w:val="008F4716"/>
    <w:rsid w:val="00B453F0"/>
    <w:rsid w:val="00D04398"/>
    <w:rsid w:val="019F091A"/>
    <w:rsid w:val="03777D04"/>
    <w:rsid w:val="03A65843"/>
    <w:rsid w:val="03DB4271"/>
    <w:rsid w:val="04E90EBD"/>
    <w:rsid w:val="04EB2B5B"/>
    <w:rsid w:val="05300860"/>
    <w:rsid w:val="05380E09"/>
    <w:rsid w:val="055D6E5E"/>
    <w:rsid w:val="05610BB5"/>
    <w:rsid w:val="07564362"/>
    <w:rsid w:val="09782EC8"/>
    <w:rsid w:val="09D27604"/>
    <w:rsid w:val="0A5F6292"/>
    <w:rsid w:val="0BF35068"/>
    <w:rsid w:val="0C565330"/>
    <w:rsid w:val="0CAF53F6"/>
    <w:rsid w:val="0CF85329"/>
    <w:rsid w:val="0DB13DC4"/>
    <w:rsid w:val="0EB74D33"/>
    <w:rsid w:val="0F9561B6"/>
    <w:rsid w:val="11A028DD"/>
    <w:rsid w:val="11E7075E"/>
    <w:rsid w:val="12313A29"/>
    <w:rsid w:val="143B0792"/>
    <w:rsid w:val="145E08C8"/>
    <w:rsid w:val="14E34445"/>
    <w:rsid w:val="160C7009"/>
    <w:rsid w:val="18CD4E3E"/>
    <w:rsid w:val="192A5A8F"/>
    <w:rsid w:val="19983365"/>
    <w:rsid w:val="1AB97C74"/>
    <w:rsid w:val="1AF2132B"/>
    <w:rsid w:val="1B3C453B"/>
    <w:rsid w:val="1B78581C"/>
    <w:rsid w:val="1C354549"/>
    <w:rsid w:val="1E516222"/>
    <w:rsid w:val="1E5F2B9D"/>
    <w:rsid w:val="1F2E69D8"/>
    <w:rsid w:val="1F843DF9"/>
    <w:rsid w:val="1FE93284"/>
    <w:rsid w:val="201B5784"/>
    <w:rsid w:val="20DB35F6"/>
    <w:rsid w:val="21CD3879"/>
    <w:rsid w:val="221B2F81"/>
    <w:rsid w:val="23F7456F"/>
    <w:rsid w:val="240B2444"/>
    <w:rsid w:val="240E3EBB"/>
    <w:rsid w:val="25D87968"/>
    <w:rsid w:val="26802882"/>
    <w:rsid w:val="27451868"/>
    <w:rsid w:val="289C4A46"/>
    <w:rsid w:val="28A37B3C"/>
    <w:rsid w:val="28D1462D"/>
    <w:rsid w:val="2956293D"/>
    <w:rsid w:val="29BF0D1B"/>
    <w:rsid w:val="2A547554"/>
    <w:rsid w:val="2BBC60E8"/>
    <w:rsid w:val="2CC223C9"/>
    <w:rsid w:val="2D0F0402"/>
    <w:rsid w:val="2DD8169D"/>
    <w:rsid w:val="2EEC3836"/>
    <w:rsid w:val="2FBE51B0"/>
    <w:rsid w:val="306B27F2"/>
    <w:rsid w:val="306E1980"/>
    <w:rsid w:val="316F0319"/>
    <w:rsid w:val="31FF2363"/>
    <w:rsid w:val="32190ACE"/>
    <w:rsid w:val="32BD7698"/>
    <w:rsid w:val="33597C4C"/>
    <w:rsid w:val="33951D66"/>
    <w:rsid w:val="34B15058"/>
    <w:rsid w:val="36E114FE"/>
    <w:rsid w:val="373F27BC"/>
    <w:rsid w:val="38CE3CF1"/>
    <w:rsid w:val="38E92C19"/>
    <w:rsid w:val="394746CF"/>
    <w:rsid w:val="39A86F78"/>
    <w:rsid w:val="3AD45411"/>
    <w:rsid w:val="3BF35840"/>
    <w:rsid w:val="3C35598B"/>
    <w:rsid w:val="3C9E22BB"/>
    <w:rsid w:val="3D5E672B"/>
    <w:rsid w:val="3DBF7F21"/>
    <w:rsid w:val="3DC75F55"/>
    <w:rsid w:val="40086807"/>
    <w:rsid w:val="4060532F"/>
    <w:rsid w:val="40F03B15"/>
    <w:rsid w:val="412475CE"/>
    <w:rsid w:val="414A1519"/>
    <w:rsid w:val="4220028D"/>
    <w:rsid w:val="42387292"/>
    <w:rsid w:val="42BB44C8"/>
    <w:rsid w:val="436359A0"/>
    <w:rsid w:val="43C72C45"/>
    <w:rsid w:val="43E24446"/>
    <w:rsid w:val="46CF79B0"/>
    <w:rsid w:val="46F60AC6"/>
    <w:rsid w:val="47F961C4"/>
    <w:rsid w:val="48177FD7"/>
    <w:rsid w:val="490F75F3"/>
    <w:rsid w:val="4957330A"/>
    <w:rsid w:val="4A0348C1"/>
    <w:rsid w:val="4A29241C"/>
    <w:rsid w:val="4BA45A22"/>
    <w:rsid w:val="4C0C4193"/>
    <w:rsid w:val="4D5F057C"/>
    <w:rsid w:val="4DE71064"/>
    <w:rsid w:val="4EBC05B2"/>
    <w:rsid w:val="50E77A46"/>
    <w:rsid w:val="50EE62DD"/>
    <w:rsid w:val="51FE2EA4"/>
    <w:rsid w:val="52103C84"/>
    <w:rsid w:val="52A25961"/>
    <w:rsid w:val="53476069"/>
    <w:rsid w:val="55CA0C5B"/>
    <w:rsid w:val="577870AA"/>
    <w:rsid w:val="58FA6617"/>
    <w:rsid w:val="591F359A"/>
    <w:rsid w:val="59645F2C"/>
    <w:rsid w:val="5A0F5EF5"/>
    <w:rsid w:val="5A733C44"/>
    <w:rsid w:val="5A8B0CF4"/>
    <w:rsid w:val="5C26743D"/>
    <w:rsid w:val="5C2F1F35"/>
    <w:rsid w:val="5C9B7587"/>
    <w:rsid w:val="5CF446B5"/>
    <w:rsid w:val="5D445950"/>
    <w:rsid w:val="5DC95D87"/>
    <w:rsid w:val="5E5B30A5"/>
    <w:rsid w:val="5F552134"/>
    <w:rsid w:val="600C0E76"/>
    <w:rsid w:val="60F16E00"/>
    <w:rsid w:val="610E6617"/>
    <w:rsid w:val="613663AA"/>
    <w:rsid w:val="615D0EE2"/>
    <w:rsid w:val="62085F01"/>
    <w:rsid w:val="62B948D7"/>
    <w:rsid w:val="639F622C"/>
    <w:rsid w:val="64072234"/>
    <w:rsid w:val="64080BEE"/>
    <w:rsid w:val="656C2781"/>
    <w:rsid w:val="6589284C"/>
    <w:rsid w:val="67825245"/>
    <w:rsid w:val="67BD6B4E"/>
    <w:rsid w:val="691B4ABB"/>
    <w:rsid w:val="69C21358"/>
    <w:rsid w:val="69D85085"/>
    <w:rsid w:val="6B570796"/>
    <w:rsid w:val="6B851C64"/>
    <w:rsid w:val="6D833B9E"/>
    <w:rsid w:val="6E9A33B9"/>
    <w:rsid w:val="6EC00A0B"/>
    <w:rsid w:val="6F1B1CAF"/>
    <w:rsid w:val="6F5560C3"/>
    <w:rsid w:val="6FF60D71"/>
    <w:rsid w:val="707C1790"/>
    <w:rsid w:val="70941313"/>
    <w:rsid w:val="71566E64"/>
    <w:rsid w:val="71697D5A"/>
    <w:rsid w:val="716D07BF"/>
    <w:rsid w:val="71F0044E"/>
    <w:rsid w:val="71F9338B"/>
    <w:rsid w:val="72C7118F"/>
    <w:rsid w:val="73D03F14"/>
    <w:rsid w:val="7617075C"/>
    <w:rsid w:val="76680BC0"/>
    <w:rsid w:val="77D05A82"/>
    <w:rsid w:val="77D456D1"/>
    <w:rsid w:val="78E73952"/>
    <w:rsid w:val="79C30B64"/>
    <w:rsid w:val="79D01892"/>
    <w:rsid w:val="7E0C60C2"/>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link w:val="8"/>
    <w:semiHidden/>
    <w:qFormat/>
    <w:uiPriority w:val="0"/>
    <w:rPr>
      <w:rFonts w:ascii="Verdana" w:hAnsi="Verdana" w:eastAsia="仿宋_GB2312" w:cs="Calibri"/>
      <w:kern w:val="0"/>
      <w:sz w:val="24"/>
      <w:szCs w:val="20"/>
      <w:lang w:eastAsia="en-US"/>
    </w:rPr>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eastAsia="宋体" w:cs="Times New Roman"/>
      <w:sz w:val="24"/>
    </w:rPr>
  </w:style>
  <w:style w:type="paragraph" w:styleId="3">
    <w:name w:val="Normal Indent"/>
    <w:basedOn w:val="1"/>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8">
    <w:name w:val=" Char Char Char Char Char Char Char Char Char Char Char Char Char Char Char Char Char Char Char Char Char Char Char Char Char Char Char Char Char Char Char Char Char"/>
    <w:basedOn w:val="1"/>
    <w:link w:val="7"/>
    <w:qFormat/>
    <w:uiPriority w:val="0"/>
    <w:pPr>
      <w:widowControl/>
      <w:spacing w:after="160" w:line="240" w:lineRule="exact"/>
      <w:jc w:val="left"/>
    </w:pPr>
    <w:rPr>
      <w:rFonts w:ascii="Verdana" w:hAnsi="Verdana" w:eastAsia="仿宋_GB2312" w:cs="Calibri"/>
      <w:kern w:val="0"/>
      <w:sz w:val="24"/>
      <w:szCs w:val="20"/>
      <w:lang w:eastAsia="en-US"/>
    </w:rPr>
  </w:style>
  <w:style w:type="character" w:styleId="9">
    <w:name w:val="page number"/>
    <w:basedOn w:val="7"/>
    <w:qFormat/>
    <w:uiPriority w:val="0"/>
    <w:rPr>
      <w:rFonts w:ascii="Times New Roman" w:hAnsi="Times New Roman" w:eastAsia="宋体" w:cs="Times New Roman"/>
    </w:rPr>
  </w:style>
  <w:style w:type="character" w:customStyle="1" w:styleId="11">
    <w:name w:val="font41"/>
    <w:basedOn w:val="7"/>
    <w:qFormat/>
    <w:uiPriority w:val="0"/>
    <w:rPr>
      <w:rFonts w:hint="default" w:ascii="Arial" w:hAnsi="Arial" w:cs="Arial"/>
      <w:color w:val="000000"/>
      <w:sz w:val="18"/>
      <w:szCs w:val="18"/>
      <w:u w:val="none"/>
    </w:rPr>
  </w:style>
  <w:style w:type="character" w:customStyle="1" w:styleId="12">
    <w:name w:val="font11"/>
    <w:basedOn w:val="7"/>
    <w:qFormat/>
    <w:uiPriority w:val="0"/>
    <w:rPr>
      <w:rFonts w:hint="eastAsia" w:ascii="宋体" w:hAnsi="宋体" w:eastAsia="宋体" w:cs="宋体"/>
      <w:color w:val="000000"/>
      <w:sz w:val="18"/>
      <w:szCs w:val="18"/>
      <w:u w:val="none"/>
    </w:rPr>
  </w:style>
  <w:style w:type="character" w:customStyle="1" w:styleId="13">
    <w:name w:val="font01"/>
    <w:basedOn w:val="7"/>
    <w:qFormat/>
    <w:uiPriority w:val="0"/>
    <w:rPr>
      <w:rFonts w:hint="eastAsia" w:ascii="仿宋" w:hAnsi="仿宋" w:eastAsia="仿宋" w:cs="仿宋"/>
      <w:b/>
      <w:color w:val="000000"/>
      <w:sz w:val="22"/>
      <w:szCs w:val="22"/>
      <w:u w:val="none"/>
    </w:rPr>
  </w:style>
  <w:style w:type="character" w:customStyle="1" w:styleId="14">
    <w:name w:val="font31"/>
    <w:basedOn w:val="7"/>
    <w:qFormat/>
    <w:uiPriority w:val="0"/>
    <w:rPr>
      <w:rFonts w:hint="eastAsia" w:ascii="仿宋" w:hAnsi="仿宋" w:eastAsia="仿宋" w:cs="仿宋"/>
      <w:b/>
      <w:color w:val="000000"/>
      <w:sz w:val="22"/>
      <w:szCs w:val="22"/>
      <w:u w:val="none"/>
    </w:rPr>
  </w:style>
  <w:style w:type="character" w:customStyle="1" w:styleId="15">
    <w:name w:val="font2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6</Pages>
  <Words>2283</Words>
  <Characters>2711</Characters>
  <Lines>0</Lines>
  <Paragraphs>0</Paragraphs>
  <TotalTime>0</TotalTime>
  <ScaleCrop>false</ScaleCrop>
  <LinksUpToDate>false</LinksUpToDate>
  <CharactersWithSpaces>2724</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2020-08-13T03:30:00Z</dcterms:created>
  <dc:creator>张榕</dc:creator>
  <cp:lastModifiedBy>DELL</cp:lastModifiedBy>
  <dcterms:modified xsi:type="dcterms:W3CDTF">2025-10-10T01:58:29Z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C16AFC6BA11243F09240D644A627E1E8</vt:lpwstr>
  </property>
</Properties>
</file>