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600" w:lineRule="exact"/>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梁财教〔2022〕100号</w:t>
      </w:r>
      <w:bookmarkStart w:id="0" w:name="_GoBack"/>
      <w:bookmarkEnd w:id="0"/>
    </w:p>
    <w:p>
      <w:pPr>
        <w:keepNext w:val="0"/>
        <w:keepLines w:val="0"/>
        <w:pageBreakBefore w:val="0"/>
        <w:widowControl w:val="0"/>
        <w:kinsoku/>
        <w:wordWrap/>
        <w:overflowPunct/>
        <w:topLinePunct w:val="0"/>
        <w:autoSpaceDE/>
        <w:autoSpaceDN/>
        <w:bidi w:val="0"/>
        <w:spacing w:beforeLines="0" w:afterLines="0" w:line="600" w:lineRule="exact"/>
        <w:jc w:val="center"/>
        <w:textAlignment w:val="auto"/>
        <w:rPr>
          <w:rFonts w:hint="default" w:ascii="Times New Roman" w:hAnsi="Times New Roman" w:eastAsia="方正小标宋_GBK" w:cs="Times New Roman"/>
          <w:spacing w:val="0"/>
          <w:sz w:val="44"/>
          <w:szCs w:val="44"/>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F23/S/peckN0AT/aDh+jEbnak937/a+z/eTPy3MfTknNM3j7qy+KEEGNz79q5A1r0h+PmGZcW4YeP/sa6/aAFo4yKhQdVRJ8kTVukVzd12StwwdmIPlz3AY0vAY20mEktQUkU/lBUt5JYERFHahihBBGewYY5tMSvUG6YAv1GPOyx2odCx3BOcImOlvSfQkESeFrTB+jYZ+vGr5lu8Bt+Z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23/S/peckN0AT/aDh+jEbnak937/a+z/eTPy3MfTknNM3j7qy+KEEGNz79q5A1r0h+PmGZcW4YeP/sa6/aAFo4yKhQdVRJ8kTVukVzd12StwwdmIPlz3AY0vAY20mEktQUkU/lBUt5JYERFHahihBBGewYY5tMSvUG6YAv1GPOyx2odCx3BOcImOlvSfQkESeFrTB+jYZ+vGr5lu8Bt+Z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val="0"/>
          <w:bCs/>
          <w:sz w:val="44"/>
          <w:szCs w:val="44"/>
          <w:lang w:eastAsia="zh-CN"/>
        </w:rPr>
        <w:t>梁河县</w:t>
      </w:r>
      <w:r>
        <w:rPr>
          <w:rFonts w:hint="default" w:ascii="Times New Roman" w:hAnsi="Times New Roman" w:eastAsia="方正小标宋_GBK" w:cs="Times New Roman"/>
          <w:b w:val="0"/>
          <w:bCs/>
          <w:sz w:val="44"/>
          <w:szCs w:val="44"/>
        </w:rPr>
        <w:t>财政局</w:t>
      </w:r>
      <w:r>
        <w:rPr>
          <w:rFonts w:hint="default" w:ascii="Times New Roman" w:hAnsi="Times New Roman" w:eastAsia="方正小标宋_GBK" w:cs="Times New Roman"/>
          <w:spacing w:val="0"/>
          <w:sz w:val="44"/>
          <w:szCs w:val="44"/>
        </w:rPr>
        <w:t>关于下达2022年学生资助</w:t>
      </w:r>
    </w:p>
    <w:p>
      <w:pPr>
        <w:keepNext w:val="0"/>
        <w:keepLines w:val="0"/>
        <w:pageBreakBefore w:val="0"/>
        <w:widowControl w:val="0"/>
        <w:kinsoku/>
        <w:wordWrap/>
        <w:overflowPunct/>
        <w:topLinePunct w:val="0"/>
        <w:autoSpaceDE/>
        <w:autoSpaceDN/>
        <w:bidi w:val="0"/>
        <w:spacing w:beforeLines="0" w:afterLines="0" w:line="600" w:lineRule="exact"/>
        <w:jc w:val="center"/>
        <w:textAlignment w:val="auto"/>
        <w:rPr>
          <w:rFonts w:hint="default" w:ascii="Times New Roman" w:hAnsi="Times New Roman" w:eastAsia="方正小标宋_GBK" w:cs="Times New Roman"/>
          <w:b/>
          <w:spacing w:val="0"/>
          <w:sz w:val="44"/>
          <w:szCs w:val="44"/>
        </w:rPr>
      </w:pPr>
      <w:r>
        <w:rPr>
          <w:rFonts w:hint="default" w:ascii="Times New Roman" w:hAnsi="Times New Roman" w:eastAsia="方正小标宋_GBK" w:cs="Times New Roman"/>
          <w:spacing w:val="0"/>
          <w:sz w:val="44"/>
          <w:szCs w:val="44"/>
        </w:rPr>
        <w:t>中央直达资金的通知</w:t>
      </w:r>
    </w:p>
    <w:p>
      <w:pPr>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w:t>
      </w:r>
      <w:r>
        <w:rPr>
          <w:rFonts w:hint="eastAsia"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lang w:eastAsia="zh-CN"/>
        </w:rPr>
        <w:t>一中</w:t>
      </w:r>
      <w:r>
        <w:rPr>
          <w:rFonts w:hint="eastAsia" w:ascii="Times New Roman" w:hAnsi="Times New Roman" w:eastAsia="方正仿宋_GBK" w:cs="Times New Roman"/>
          <w:sz w:val="32"/>
          <w:szCs w:val="32"/>
          <w:lang w:eastAsia="zh-CN"/>
        </w:rPr>
        <w:t>学</w:t>
      </w:r>
      <w:r>
        <w:rPr>
          <w:rFonts w:hint="default" w:ascii="Times New Roman" w:hAnsi="Times New Roman" w:eastAsia="方正仿宋_GBK" w:cs="Times New Roman"/>
          <w:sz w:val="32"/>
          <w:szCs w:val="32"/>
          <w:lang w:eastAsia="zh-CN"/>
        </w:rPr>
        <w:t>、梁河县职业高级中学</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eastAsia" w:eastAsia="方正仿宋_GBK" w:cs="Times New Roman"/>
          <w:sz w:val="32"/>
          <w:szCs w:val="32"/>
          <w:lang w:eastAsia="zh-CN"/>
        </w:rPr>
        <w:t>局德宏州</w:t>
      </w:r>
      <w:r>
        <w:rPr>
          <w:rFonts w:hint="default" w:ascii="Times New Roman" w:hAnsi="Times New Roman" w:eastAsia="方正仿宋_GBK" w:cs="Times New Roman"/>
          <w:sz w:val="32"/>
          <w:szCs w:val="32"/>
        </w:rPr>
        <w:t>教育</w:t>
      </w:r>
      <w:r>
        <w:rPr>
          <w:rFonts w:hint="eastAsia" w:eastAsia="方正仿宋_GBK" w:cs="Times New Roman"/>
          <w:sz w:val="32"/>
          <w:szCs w:val="32"/>
          <w:lang w:eastAsia="zh-CN"/>
        </w:rPr>
        <w:t>局德宏州</w:t>
      </w:r>
      <w:r>
        <w:rPr>
          <w:rFonts w:hint="default" w:ascii="Times New Roman" w:hAnsi="Times New Roman" w:eastAsia="方正仿宋_GBK" w:cs="Times New Roman"/>
          <w:sz w:val="32"/>
          <w:szCs w:val="32"/>
        </w:rPr>
        <w:t>人力资源和社会保障</w:t>
      </w:r>
      <w:r>
        <w:rPr>
          <w:rFonts w:hint="eastAsia" w:eastAsia="方正仿宋_GBK" w:cs="Times New Roman"/>
          <w:sz w:val="32"/>
          <w:szCs w:val="32"/>
          <w:lang w:eastAsia="zh-CN"/>
        </w:rPr>
        <w:t>局</w:t>
      </w:r>
      <w:r>
        <w:rPr>
          <w:rFonts w:hint="default" w:ascii="Times New Roman" w:hAnsi="Times New Roman" w:eastAsia="方正仿宋_GBK" w:cs="Times New Roman"/>
          <w:sz w:val="32"/>
          <w:szCs w:val="32"/>
        </w:rPr>
        <w:t>关于提前下达2022年学生资助中央直达资金的通知》（</w:t>
      </w:r>
      <w:r>
        <w:rPr>
          <w:rFonts w:hint="eastAsia" w:eastAsia="方正仿宋_GBK" w:cs="Times New Roman"/>
          <w:sz w:val="32"/>
          <w:szCs w:val="32"/>
          <w:lang w:eastAsia="zh-CN"/>
        </w:rPr>
        <w:t>德</w:t>
      </w:r>
      <w:r>
        <w:rPr>
          <w:rFonts w:hint="default" w:ascii="Times New Roman" w:hAnsi="Times New Roman" w:eastAsia="方正仿宋_GBK" w:cs="Times New Roman"/>
          <w:sz w:val="32"/>
          <w:szCs w:val="32"/>
        </w:rPr>
        <w:t>财教〔202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33</w:t>
      </w:r>
      <w:r>
        <w:rPr>
          <w:rFonts w:hint="default" w:ascii="Times New Roman" w:hAnsi="Times New Roman" w:eastAsia="方正仿宋_GBK" w:cs="Times New Roman"/>
          <w:sz w:val="32"/>
          <w:szCs w:val="32"/>
        </w:rPr>
        <w:t>号）要求，现下达你们2022学生资助中央资金</w:t>
      </w:r>
      <w:r>
        <w:rPr>
          <w:rFonts w:hint="eastAsia" w:eastAsia="方正仿宋_GBK" w:cs="Times New Roman"/>
          <w:sz w:val="32"/>
          <w:szCs w:val="32"/>
          <w:lang w:val="en-US" w:eastAsia="zh-CN"/>
        </w:rPr>
        <w:t>273.25万元</w:t>
      </w:r>
      <w:r>
        <w:rPr>
          <w:rFonts w:hint="default" w:ascii="Times New Roman" w:hAnsi="Times New Roman" w:eastAsia="方正仿宋_GBK" w:cs="Times New Roman"/>
          <w:sz w:val="32"/>
          <w:szCs w:val="32"/>
        </w:rPr>
        <w:t>。此款2022年功能分类科目收入列“1100245教育共同财政事权转移支付收入”，支出列</w:t>
      </w:r>
      <w:r>
        <w:rPr>
          <w:rFonts w:hint="eastAsia" w:eastAsia="方正仿宋_GBK" w:cs="Times New Roman"/>
          <w:sz w:val="32"/>
          <w:szCs w:val="32"/>
          <w:lang w:eastAsia="zh-CN"/>
        </w:rPr>
        <w:t>入</w:t>
      </w:r>
      <w:r>
        <w:rPr>
          <w:rFonts w:hint="default" w:ascii="Times New Roman" w:hAnsi="Times New Roman" w:eastAsia="方正仿宋_GBK" w:cs="Times New Roman"/>
          <w:sz w:val="32"/>
          <w:szCs w:val="32"/>
        </w:rPr>
        <w:t>“2050204-高中教育、2050302中等职业教育”相应项；政府预算经济分类科目列“51301上下级政府间转移性支出”。政府及部门支出经济分类科目，请根据该项目要求和实际情况按照《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预算法》和财政资金相关管理规定列支。现将有关事项通知如下：</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要落实《财政部教育部人力资源社会保障部退役军人部中央军委国防动员部关于印发〈学生资助资金管理办法〉的通知》（财科教〔2019〕19号），《云南省政府办公厅关于印发教育领域财政事权和支出责任划分改革实施方案》（云政办发〔2020〕7号），以及《德宏州人民政府办公室关于印发德宏州教育领域州以下共同财政事权和支出责任划分改革实施方案的通知》（德政办发〔2020〕54号）有关要求，结合本地实际足额安排应承担的资金预算，确保教育资助政策落实到位。为继续</w:t>
      </w:r>
      <w:r>
        <w:rPr>
          <w:rFonts w:hint="eastAsia" w:eastAsia="方正仿宋_GBK" w:cs="Times New Roman"/>
          <w:sz w:val="32"/>
          <w:szCs w:val="32"/>
          <w:lang w:eastAsia="zh-CN"/>
        </w:rPr>
        <w:t>巩固拓展脱贫攻坚成果</w:t>
      </w:r>
      <w:r>
        <w:rPr>
          <w:rFonts w:hint="default" w:ascii="Times New Roman" w:hAnsi="Times New Roman" w:eastAsia="方正仿宋_GBK" w:cs="Times New Roman"/>
          <w:sz w:val="32"/>
          <w:szCs w:val="32"/>
        </w:rPr>
        <w:t>，请在分配相关资金时，进一步向贫困地区倾斜。省级、州级将再次核定县预算和分项人数，据实清算，请提前做好基础数据的统计核实工作。基础数据核实情况和资助资金发放、政策落实情况及时向州教育体育局、州人力资源和社会保障局报告，州财政局将依据主管部门核实情况进行调整。</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学生资助资金为直达资金，直达资金标识为“01/中央直达资金”。要及时在指标管理系统中登录有关指标和直达资金标识，导入直达资金监控系统，确保数据真实、账目清晰、流向明确，将中央和省资金直达基层、直接惠民利民的要求落实到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三、请按照《教育部等六部门关于做好家庭经济困难学生认定工作的指导意见》（教财〔2018〕16号）要求，做好家庭经济困难学生认定工作，进一步提高自主精准度，做到</w:t>
      </w:r>
      <w:r>
        <w:rPr>
          <w:sz w:val="32"/>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a1hPJ&#10;3AAAAA8BAAAPAAAAAAAAAAEAIAAAACIAAABkcnMvZG93bnJldi54bWxQSwECFAAUAAAACACHTuJA&#10;fhAKGVYCAADjBAAADgAAAAAAAAABACAAAAArAQAAZHJzL2Uyb0RvYy54bWxQSwUGAAAAAAYABgBZ&#10;AQAA8wU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应助尽助。教育部门要密切配合，及时足额下达资金，并督促依据学生资助相关管理办法规范使用，防止资金挤占、挪用、虚列、套取补助资金的行为，确保资助政策不打折扣落实到位。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w:t>
      </w:r>
      <w:r>
        <w:rPr>
          <w:rFonts w:hint="default" w:ascii="Times New Roman" w:hAnsi="Times New Roman" w:eastAsia="方正仿宋_GBK" w:cs="Times New Roman"/>
          <w:sz w:val="32"/>
          <w:szCs w:val="32"/>
          <w:lang w:eastAsia="zh-CN"/>
        </w:rPr>
        <w:t>件</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2022年学生资助补助经费中央直达资金下达表</w:t>
      </w:r>
      <w:r>
        <w:rPr>
          <w:rFonts w:hint="eastAsia" w:eastAsia="方正仿宋_GBK" w:cs="Times New Roman"/>
          <w:sz w:val="32"/>
          <w:szCs w:val="32"/>
          <w:lang w:val="en-US" w:eastAsia="zh-CN"/>
        </w:rPr>
        <w:t>2.中等职业教育学生资助补助经费项目绩效目标表</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rPr>
        <w:t>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adjustRightInd w:val="0"/>
        <w:snapToGrid w:val="0"/>
        <w:spacing w:line="400" w:lineRule="exact"/>
        <w:rPr>
          <w:rFonts w:hint="eastAsia" w:ascii="Times New Roman" w:hAnsi="Times New Roman" w:eastAsia="方正仿宋_GBK"/>
          <w:sz w:val="32"/>
          <w:szCs w:val="32"/>
        </w:rPr>
      </w:pPr>
    </w:p>
    <w:tbl>
      <w:tblPr>
        <w:tblStyle w:val="7"/>
        <w:tblW w:w="92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7"/>
        <w:gridCol w:w="1568"/>
        <w:gridCol w:w="750"/>
        <w:gridCol w:w="853"/>
        <w:gridCol w:w="846"/>
        <w:gridCol w:w="812"/>
        <w:gridCol w:w="1950"/>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12" w:hRule="atLeast"/>
        </w:trPr>
        <w:tc>
          <w:tcPr>
            <w:tcW w:w="79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附件1</w:t>
            </w:r>
          </w:p>
        </w:tc>
        <w:tc>
          <w:tcPr>
            <w:tcW w:w="1568" w:type="dxa"/>
            <w:tcBorders>
              <w:top w:val="nil"/>
              <w:left w:val="nil"/>
              <w:bottom w:val="nil"/>
              <w:right w:val="nil"/>
            </w:tcBorders>
            <w:shd w:val="clear" w:color="auto" w:fill="auto"/>
            <w:tcMar>
              <w:top w:w="15" w:type="dxa"/>
              <w:left w:w="15" w:type="dxa"/>
              <w:right w:w="15" w:type="dxa"/>
            </w:tcMar>
            <w:vAlign w:val="center"/>
          </w:tcPr>
          <w:p>
            <w:pPr>
              <w:rPr>
                <w:rFonts w:hint="eastAsia" w:ascii="黑体" w:hAnsi="黑体" w:eastAsia="黑体" w:cs="黑体"/>
                <w:i w:val="0"/>
                <w:color w:val="000000"/>
                <w:sz w:val="28"/>
                <w:szCs w:val="28"/>
                <w:u w:val="none"/>
              </w:rPr>
            </w:pPr>
          </w:p>
        </w:tc>
        <w:tc>
          <w:tcPr>
            <w:tcW w:w="7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9"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78" w:hRule="atLeast"/>
        </w:trPr>
        <w:tc>
          <w:tcPr>
            <w:tcW w:w="921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2022年学生资助补助经费中央直达资金下达表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92" w:hRule="atLeast"/>
        </w:trPr>
        <w:tc>
          <w:tcPr>
            <w:tcW w:w="79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6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单位：人、万元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26" w:hRule="atLeast"/>
        </w:trPr>
        <w:tc>
          <w:tcPr>
            <w:tcW w:w="2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县</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普通高中</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中等职业教育</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本次下达中央资金</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26" w:hRule="atLeast"/>
        </w:trPr>
        <w:tc>
          <w:tcPr>
            <w:tcW w:w="2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val="0"/>
                <w:bCs/>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助学金</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免学费</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奖助学金</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免学费</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val="0"/>
                <w:bCs/>
                <w:i w:val="0"/>
                <w:color w:val="000000"/>
                <w:sz w:val="24"/>
                <w:szCs w:val="24"/>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0" w:hRule="atLeast"/>
        </w:trPr>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sz w:val="24"/>
                <w:szCs w:val="24"/>
                <w:u w:val="none"/>
              </w:rPr>
            </w:pPr>
            <w:r>
              <w:rPr>
                <w:rFonts w:hint="eastAsia" w:ascii="方正仿宋_GBK" w:hAnsi="方正仿宋_GBK" w:eastAsia="方正仿宋_GBK" w:cs="方正仿宋_GBK"/>
                <w:b w:val="0"/>
                <w:bCs/>
                <w:i w:val="0"/>
                <w:color w:val="000000"/>
                <w:kern w:val="0"/>
                <w:sz w:val="24"/>
                <w:szCs w:val="24"/>
                <w:u w:val="none"/>
                <w:lang w:val="en-US" w:eastAsia="zh-CN" w:bidi="ar"/>
              </w:rPr>
              <w:t>梁河县</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126.41</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38.58 </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43.97 </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64.29 </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273.25 </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val="0"/>
                <w:bCs/>
                <w:i w:val="0"/>
                <w:color w:val="000000"/>
                <w:sz w:val="24"/>
                <w:szCs w:val="24"/>
                <w:u w:val="none"/>
              </w:rPr>
            </w:pPr>
          </w:p>
        </w:tc>
      </w:tr>
    </w:tbl>
    <w:p>
      <w:pPr>
        <w:adjustRightInd w:val="0"/>
        <w:snapToGrid w:val="0"/>
        <w:spacing w:line="400" w:lineRule="exact"/>
        <w:rPr>
          <w:rFonts w:hint="eastAsia" w:ascii="Times New Roman" w:hAnsi="Times New Roman" w:eastAsia="方正仿宋_GBK"/>
          <w:sz w:val="32"/>
          <w:szCs w:val="32"/>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tbl>
      <w:tblPr>
        <w:tblStyle w:val="7"/>
        <w:tblW w:w="9843" w:type="dxa"/>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17"/>
        <w:gridCol w:w="1149"/>
        <w:gridCol w:w="1290"/>
        <w:gridCol w:w="1020"/>
        <w:gridCol w:w="1020"/>
        <w:gridCol w:w="1020"/>
        <w:gridCol w:w="1020"/>
        <w:gridCol w:w="1607"/>
      </w:tblGrid>
      <w:tr>
        <w:tblPrEx>
          <w:shd w:val="clear" w:color="auto" w:fill="auto"/>
          <w:tblLayout w:type="fixed"/>
          <w:tblCellMar>
            <w:top w:w="0" w:type="dxa"/>
            <w:left w:w="0" w:type="dxa"/>
            <w:bottom w:w="0" w:type="dxa"/>
            <w:right w:w="0" w:type="dxa"/>
          </w:tblCellMar>
        </w:tblPrEx>
        <w:trPr>
          <w:trHeight w:val="887" w:hRule="atLeast"/>
        </w:trPr>
        <w:tc>
          <w:tcPr>
            <w:tcW w:w="171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4"/>
                <w:szCs w:val="24"/>
                <w:u w:val="none"/>
              </w:rPr>
            </w:pPr>
            <w:r>
              <w:rPr>
                <w:rFonts w:hint="eastAsia" w:ascii="黑体" w:hAnsi="黑体" w:eastAsia="黑体" w:cs="黑体"/>
                <w:i w:val="0"/>
                <w:color w:val="000000"/>
                <w:kern w:val="0"/>
                <w:sz w:val="28"/>
                <w:szCs w:val="28"/>
                <w:u w:val="none"/>
                <w:lang w:val="en-US" w:eastAsia="zh-CN" w:bidi="ar"/>
              </w:rPr>
              <w:t>附件2</w:t>
            </w:r>
          </w:p>
        </w:tc>
        <w:tc>
          <w:tcPr>
            <w:tcW w:w="114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9843"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中等职业教育学生资助补助经费项目绩效目标表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843" w:type="dxa"/>
            <w:gridSpan w:val="8"/>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7" w:hRule="atLeast"/>
        </w:trPr>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转移支付名称</w:t>
            </w:r>
          </w:p>
        </w:tc>
        <w:tc>
          <w:tcPr>
            <w:tcW w:w="3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中等职业教育学生资助补助经费（中央资金）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实施主体</w:t>
            </w:r>
          </w:p>
        </w:tc>
        <w:tc>
          <w:tcPr>
            <w:tcW w:w="262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全州各职业院校（含德宏师范高等专科学校）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6977"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年度中央补助金额：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12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4" w:hRule="atLeast"/>
        </w:trPr>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2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目标1：中等职业教育各项国家资助政策按规定得到落实；</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目标2：激励中等职业学校学生勤奋学习、努力进取，提高学生思想道德素质和专业技能水平；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目标3：满足家庭经济困难学生基本学习生活需要；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71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1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2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408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中职国家助学金应受助学生受助比例</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0"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中职免学杂费应受助学生受助比例</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3"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中职国家奖学金</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1"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中职国家助学金资助面</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高中阶段职普比</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大体相当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4"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奖助学金按规定及时发放率</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5"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指标  </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帮助家庭经济困难学生接受高中阶段教育 </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保障家庭经济困难学生就学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在中职国家助学金名额分配时，适当向农村地区、贫困地区和民族地区倾斜</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2" w:hRule="atLeast"/>
        </w:trPr>
        <w:tc>
          <w:tcPr>
            <w:tcW w:w="17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师生满意度</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r>
    </w:tbl>
    <w:p>
      <w:pPr>
        <w:rPr>
          <w:lang w:val="en-US"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71" w:y="-466"/>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6C34225-0E22-41B0-B6F4-29C636FF418B}"/>
    <w:docVar w:name="DocumentName" w:val="在 14008 中的 WPS文档"/>
  </w:docVars>
  <w:rsids>
    <w:rsidRoot w:val="001105C7"/>
    <w:rsid w:val="000958C7"/>
    <w:rsid w:val="000B1D49"/>
    <w:rsid w:val="001105C7"/>
    <w:rsid w:val="00223059"/>
    <w:rsid w:val="00285420"/>
    <w:rsid w:val="003F2A12"/>
    <w:rsid w:val="00581DC1"/>
    <w:rsid w:val="00587320"/>
    <w:rsid w:val="0063213A"/>
    <w:rsid w:val="00686E4A"/>
    <w:rsid w:val="007F382E"/>
    <w:rsid w:val="00A93B83"/>
    <w:rsid w:val="00B453F0"/>
    <w:rsid w:val="00B457C2"/>
    <w:rsid w:val="00D04398"/>
    <w:rsid w:val="01194EB9"/>
    <w:rsid w:val="02740349"/>
    <w:rsid w:val="03777D04"/>
    <w:rsid w:val="03876761"/>
    <w:rsid w:val="04EB2B5B"/>
    <w:rsid w:val="05016F8A"/>
    <w:rsid w:val="05CB3723"/>
    <w:rsid w:val="0605576C"/>
    <w:rsid w:val="062B415B"/>
    <w:rsid w:val="078A3AD6"/>
    <w:rsid w:val="0A8A151F"/>
    <w:rsid w:val="0AE13C98"/>
    <w:rsid w:val="0AFF0AB5"/>
    <w:rsid w:val="0B68662F"/>
    <w:rsid w:val="0C0B7914"/>
    <w:rsid w:val="0CAA4371"/>
    <w:rsid w:val="0CF85329"/>
    <w:rsid w:val="0D0D5424"/>
    <w:rsid w:val="0FA43301"/>
    <w:rsid w:val="10F775AA"/>
    <w:rsid w:val="12DB1CDC"/>
    <w:rsid w:val="13016B82"/>
    <w:rsid w:val="139423F1"/>
    <w:rsid w:val="147C5829"/>
    <w:rsid w:val="173E2E0A"/>
    <w:rsid w:val="1759030D"/>
    <w:rsid w:val="18550B30"/>
    <w:rsid w:val="188E5471"/>
    <w:rsid w:val="19D65BF8"/>
    <w:rsid w:val="1B975099"/>
    <w:rsid w:val="1C195D09"/>
    <w:rsid w:val="1F05595F"/>
    <w:rsid w:val="20212703"/>
    <w:rsid w:val="20486CCB"/>
    <w:rsid w:val="23BA7ACF"/>
    <w:rsid w:val="25AE29BE"/>
    <w:rsid w:val="26546FED"/>
    <w:rsid w:val="26E76F9E"/>
    <w:rsid w:val="27400084"/>
    <w:rsid w:val="275A06B1"/>
    <w:rsid w:val="2812519E"/>
    <w:rsid w:val="2BDD38C1"/>
    <w:rsid w:val="2DE03850"/>
    <w:rsid w:val="306B0028"/>
    <w:rsid w:val="337C31B4"/>
    <w:rsid w:val="33962645"/>
    <w:rsid w:val="33E51F12"/>
    <w:rsid w:val="36CB4B68"/>
    <w:rsid w:val="37940616"/>
    <w:rsid w:val="39976ED0"/>
    <w:rsid w:val="3A011855"/>
    <w:rsid w:val="3B946AFE"/>
    <w:rsid w:val="3BFD5445"/>
    <w:rsid w:val="40086807"/>
    <w:rsid w:val="40AD746B"/>
    <w:rsid w:val="427F5044"/>
    <w:rsid w:val="42D36300"/>
    <w:rsid w:val="43051862"/>
    <w:rsid w:val="43C72C45"/>
    <w:rsid w:val="4667139F"/>
    <w:rsid w:val="483D6398"/>
    <w:rsid w:val="4A2232B0"/>
    <w:rsid w:val="4A606B70"/>
    <w:rsid w:val="4B22228B"/>
    <w:rsid w:val="4C0C4193"/>
    <w:rsid w:val="4E864888"/>
    <w:rsid w:val="4F476A2C"/>
    <w:rsid w:val="4FA12A49"/>
    <w:rsid w:val="4FD34125"/>
    <w:rsid w:val="4FDA42D4"/>
    <w:rsid w:val="530C517B"/>
    <w:rsid w:val="55234A6D"/>
    <w:rsid w:val="56C276A8"/>
    <w:rsid w:val="592C38FF"/>
    <w:rsid w:val="59645F2C"/>
    <w:rsid w:val="5BF40219"/>
    <w:rsid w:val="625A7CAF"/>
    <w:rsid w:val="62C21A50"/>
    <w:rsid w:val="63F72666"/>
    <w:rsid w:val="656C2781"/>
    <w:rsid w:val="658A1EEE"/>
    <w:rsid w:val="65C57B6F"/>
    <w:rsid w:val="68CB510F"/>
    <w:rsid w:val="691F1303"/>
    <w:rsid w:val="6BC22220"/>
    <w:rsid w:val="6D833B9E"/>
    <w:rsid w:val="6D9E49FF"/>
    <w:rsid w:val="71697D5A"/>
    <w:rsid w:val="71A51894"/>
    <w:rsid w:val="71E5511F"/>
    <w:rsid w:val="72530193"/>
    <w:rsid w:val="72C7118F"/>
    <w:rsid w:val="73D03F14"/>
    <w:rsid w:val="747D2A1A"/>
    <w:rsid w:val="75792942"/>
    <w:rsid w:val="795C70E7"/>
    <w:rsid w:val="79C30B64"/>
    <w:rsid w:val="7A456245"/>
    <w:rsid w:val="7BCD5A7E"/>
    <w:rsid w:val="7E5F66D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01"/>
    <w:basedOn w:val="5"/>
    <w:qFormat/>
    <w:uiPriority w:val="0"/>
    <w:rPr>
      <w:rFonts w:hint="eastAsia" w:ascii="宋体" w:hAnsi="宋体" w:eastAsia="宋体" w:cs="宋体"/>
      <w:color w:val="000000"/>
      <w:sz w:val="22"/>
      <w:szCs w:val="22"/>
      <w:u w:val="single"/>
    </w:rPr>
  </w:style>
  <w:style w:type="character" w:customStyle="1" w:styleId="10">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2020-03-03T06:47:00Z</dcterms:created>
  <dc:creator>DELL</dc:creator>
  <cp:lastModifiedBy>bbangongshi</cp:lastModifiedBy>
  <cp:lastPrinted>2022-03-29T07:05:00Z</cp:lastPrinted>
  <dcterms:modified xsi:type="dcterms:W3CDTF">2025-12-26T02:42:38Z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