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梁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财社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〔20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102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关于下达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2021年残疾人事业发展补助资金的通知</w:t>
      </w:r>
    </w:p>
    <w:p>
      <w:pPr>
        <w:keepNext w:val="0"/>
        <w:keepLines w:val="0"/>
        <w:pageBreakBefore w:val="0"/>
        <w:widowControl w:val="0"/>
        <w:spacing w:line="540" w:lineRule="exact"/>
        <w:ind w:left="0"/>
        <w:jc w:val="left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540" w:lineRule="exact"/>
        <w:ind w:left="0"/>
        <w:jc w:val="left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梁河县残疾人联合会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根据《德宏州财政局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关于下达2021年残疾人事业发展补助资金的通知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》（德财社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〔20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92号）精神，现下达你单位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下达2021年残疾人事业发展补助资金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6万元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（具体金额详见附件），现将有关事业通知如下：</w:t>
      </w: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一、此次下达的补助资金，收入列入2021年政府收支分类科</w:t>
      </w:r>
    </w:p>
    <w:p>
      <w:pPr>
        <w:keepNext w:val="0"/>
        <w:keepLines w:val="0"/>
        <w:pageBreakBefore w:val="0"/>
        <w:widowControl w:val="0"/>
        <w:spacing w:line="540" w:lineRule="exact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目“1100248 社会保障和就业共同财政事权转移支付收入”，支出列入“2081105 残疾人就业和扶贫”相关科目，政府及部门支出经济分类科目，请根据该项目要求和实际情况按照《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中华人民共和国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预算法》和财政资金相关管理规定列支。 由单位统筹用于残疾人康复、农村贫困残疾人实用技术培训、残疾人机动轮椅车燃油补贴以及阳光家园计划—智力、精神和重度肢体残疾人托养服务等方面支出。</w:t>
      </w: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二、此次下达的补助资金列入直达资金管理，该项直达资金的标识为“01 中央直达资金”，贯穿资金分配、拨付、使用等整个环节，且保持不变。</w:t>
      </w: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三、为进一步规范转移支付绩效目标管理，提高财政资金使用</w:t>
      </w:r>
    </w:p>
    <w:p>
      <w:pPr>
        <w:keepNext w:val="0"/>
        <w:keepLines w:val="0"/>
        <w:pageBreakBefore w:val="0"/>
        <w:widowControl w:val="0"/>
        <w:spacing w:line="540" w:lineRule="exact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效益，按照《中共中央 国务院关于全面实施预算绩效管理的意见》要求，请在组织预算执行中对照绩效目标做好绩效监控，确保年度绩效目标如期实现。</w:t>
      </w: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四、请残联与财政部门密切合作，确保财政资金及时下拨，并结合地方安排的残疾人事业发展补助资金统筹使用。同时，要按照《云南省财政厅 云南省残疾人联合会关于印发&lt;云南省残疾人事业发展补助资金管理办法&gt;的通知》（云财社〔2017〕29 号）和《云南省财政厅 云南省民政厅 云南省住房和城乡建设厅 云南省残疾人联合会关于转发〈财政部 民政部 住房和城乡建设部 中国残联关于修改中央财政困难群众救助等补助资金管理办法〉的通知》（云财社〔2019〕179号）规定，加强资金使用管理，努力提高资金使用效益。</w:t>
      </w: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五、请单位收到项目纸质指标文件3个工作日内，登录云南省地方财政预算标准化管理平台系统完成项目申报工作。以便于及时下达资。</w:t>
      </w: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540" w:lineRule="exact"/>
        <w:ind w:firstLine="64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1.2021年残疾人事业发展补助资金下达表</w:t>
      </w:r>
    </w:p>
    <w:p>
      <w:pPr>
        <w:keepNext w:val="0"/>
        <w:keepLines w:val="0"/>
        <w:pageBreakBefore w:val="0"/>
        <w:widowControl w:val="0"/>
        <w:spacing w:line="540" w:lineRule="exact"/>
        <w:ind w:firstLine="1600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2.省对地方转移支付区域绩效目标表</w:t>
      </w:r>
    </w:p>
    <w:p>
      <w:pPr>
        <w:keepNext w:val="0"/>
        <w:keepLines w:val="0"/>
        <w:pageBreakBefore w:val="0"/>
        <w:widowControl w:val="0"/>
        <w:spacing w:line="540" w:lineRule="exact"/>
        <w:ind w:firstLine="6080"/>
        <w:jc w:val="both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540" w:lineRule="exact"/>
        <w:ind w:firstLine="6080"/>
        <w:jc w:val="both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540" w:lineRule="exact"/>
        <w:ind w:firstLine="6080"/>
        <w:jc w:val="both"/>
        <w:outlineLvl w:val="9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梁河县</w:t>
      </w:r>
      <w:r>
        <w:rPr>
          <w:rFonts w:ascii="Times New Roman" w:hAnsi="Times New Roman" w:eastAsia="仿宋_GB2312" w:cs="Times New Roman"/>
          <w:sz w:val="32"/>
          <w:szCs w:val="32"/>
        </w:rPr>
        <w:t>财政局</w:t>
      </w:r>
    </w:p>
    <w:p>
      <w:pPr>
        <w:keepNext w:val="0"/>
        <w:keepLines w:val="0"/>
        <w:pageBreakBefore w:val="0"/>
        <w:widowControl w:val="0"/>
        <w:spacing w:line="540" w:lineRule="exact"/>
        <w:ind w:left="0"/>
        <w:jc w:val="both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ind w:firstLine="64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ind w:firstLine="64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2021年残疾人事业发展补助资金下达表</w:t>
      </w:r>
    </w:p>
    <w:p>
      <w:pPr>
        <w:keepNext w:val="0"/>
        <w:keepLines w:val="0"/>
        <w:pageBreakBefore w:val="0"/>
        <w:spacing w:line="600" w:lineRule="exact"/>
        <w:jc w:val="right"/>
        <w:rPr>
          <w:rFonts w:hint="eastAsia"/>
        </w:rPr>
      </w:pPr>
      <w:r>
        <w:rPr>
          <w:rFonts w:hint="eastAsia"/>
        </w:rPr>
        <w:t xml:space="preserve">  单位：万元</w:t>
      </w:r>
    </w:p>
    <w:tbl>
      <w:tblPr>
        <w:tblStyle w:val="32"/>
        <w:tblW w:w="9148" w:type="dxa"/>
        <w:jc w:val="center"/>
        <w:tblInd w:w="-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2" w:type="dxa"/>
          <w:left w:w="12" w:type="dxa"/>
          <w:bottom w:w="0" w:type="dxa"/>
          <w:right w:w="12" w:type="dxa"/>
        </w:tblCellMar>
      </w:tblPr>
      <w:tblGrid>
        <w:gridCol w:w="2904"/>
        <w:gridCol w:w="2114"/>
        <w:gridCol w:w="1870"/>
        <w:gridCol w:w="226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050" w:hRule="atLeast"/>
          <w:jc w:val="center"/>
        </w:trPr>
        <w:tc>
          <w:tcPr>
            <w:tcW w:w="290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2114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补助资金总额</w:t>
            </w:r>
          </w:p>
        </w:tc>
        <w:tc>
          <w:tcPr>
            <w:tcW w:w="4130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其中：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197" w:hRule="atLeast"/>
          <w:jc w:val="center"/>
        </w:trPr>
        <w:tc>
          <w:tcPr>
            <w:tcW w:w="2904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7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已下达资金</w:t>
            </w:r>
          </w:p>
        </w:tc>
        <w:tc>
          <w:tcPr>
            <w:tcW w:w="226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本次下达资金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1852" w:hRule="atLeast"/>
          <w:jc w:val="center"/>
        </w:trPr>
        <w:tc>
          <w:tcPr>
            <w:tcW w:w="290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/>
              </w:rPr>
              <w:t>梁河县残疾人联合会</w:t>
            </w:r>
          </w:p>
        </w:tc>
        <w:tc>
          <w:tcPr>
            <w:tcW w:w="2114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18.65</w:t>
            </w:r>
          </w:p>
        </w:tc>
        <w:tc>
          <w:tcPr>
            <w:tcW w:w="187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12.65</w:t>
            </w:r>
          </w:p>
        </w:tc>
        <w:tc>
          <w:tcPr>
            <w:tcW w:w="2260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footerReference r:id="rId3" w:type="default"/>
          <w:pgSz w:w="11906" w:h="16838" w:orient="landscape"/>
          <w:pgMar w:top="1440" w:right="1800" w:bottom="1440" w:left="1800" w:header="851" w:footer="992" w:gutter="0"/>
          <w:cols w:space="1701" w:num="1"/>
        </w:sectPr>
      </w:pPr>
    </w:p>
    <w:p>
      <w:pPr>
        <w:keepNext w:val="0"/>
        <w:keepLines w:val="0"/>
        <w:pageBreakBefore w:val="0"/>
        <w:widowControl w:val="0"/>
        <w:ind w:firstLine="64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省对地方转移支付区域绩效目标表</w:t>
      </w:r>
    </w:p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tbl>
      <w:tblPr>
        <w:tblStyle w:val="32"/>
        <w:tblW w:w="8545" w:type="dxa"/>
        <w:tblInd w:w="-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2" w:type="dxa"/>
          <w:left w:w="12" w:type="dxa"/>
          <w:bottom w:w="0" w:type="dxa"/>
          <w:right w:w="12" w:type="dxa"/>
        </w:tblCellMar>
      </w:tblPr>
      <w:tblGrid>
        <w:gridCol w:w="1383"/>
        <w:gridCol w:w="971"/>
        <w:gridCol w:w="1182"/>
        <w:gridCol w:w="4078"/>
        <w:gridCol w:w="93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8545" w:type="dxa"/>
            <w:gridSpan w:val="5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2021年中央财政残疾人事业发展补助绩效表（一般公共预算第二批）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3536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09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残疾人事业发展补助资金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3536" w:type="dxa"/>
            <w:gridSpan w:val="3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5009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云南省残疾人联合会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153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实施期额：</w:t>
            </w:r>
          </w:p>
        </w:tc>
        <w:tc>
          <w:tcPr>
            <w:tcW w:w="5009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3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5009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6万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53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5009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162" w:type="dxa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实施期目标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62" w:type="dxa"/>
            <w:gridSpan w:val="4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目标1：通过开展残疾人基本康复服务项目年度工作，为经济困难的视力、听力、肢体、智力、精神残疾人适配辅助器具，努力提高受助残疾人生活自理和社会参与能力。                                                                                                           目标2：通过农村困难残疾人实用技术培训项目的实施，进一步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巩固拓展脱贫攻坚成果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 w:bidi="ar"/>
              </w:rPr>
              <w:t>，让更多有需求的残疾人获得生产劳动技能，促进就业增收。                                       目标3：通过“阳光家园计划”项目年度工作的实施，帮助残疾人得到托养照料。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7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8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07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eastAsia="zh-CN"/>
              </w:rPr>
              <w:t>指标值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梁河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8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资助接受托养服务人数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培训农村困难残疾人人数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≧20人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接受农村实用技术培训残疾人掌握的生产技能数量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"/>
              </w:rPr>
              <w:t>1-2门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8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残疾人康复服务水平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接受农村实用技术培训的残疾人生活生产能力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关心、理解、支持残疾人的社会氛围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残疾人及其家属对残疾人康复服务的满意度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8" w:hRule="atLeast"/>
        </w:trPr>
        <w:tc>
          <w:tcPr>
            <w:tcW w:w="1383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1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2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7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残疾人及其家属对残疾人服务的满意度</w:t>
            </w:r>
          </w:p>
        </w:tc>
        <w:tc>
          <w:tcPr>
            <w:tcW w:w="931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spacing w:line="600" w:lineRule="exact"/>
        <w:jc w:val="left"/>
        <w:rPr>
          <w:rFonts w:hint="eastAsia"/>
        </w:rPr>
      </w:pPr>
    </w:p>
    <w:sectPr>
      <w:pgSz w:w="11906" w:h="16838" w:orient="landscape"/>
      <w:pgMar w:top="2098" w:right="1361" w:bottom="1984" w:left="1417" w:header="851" w:footer="1134" w:gutter="0"/>
      <w:pgNumType w:start="1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5"/>
      <w:framePr w:wrap="around" w:vAnchor="text" w:hAnchor="margin" w:xAlign="outside" w:y="1"/>
      <w:rPr>
        <w:rStyle w:val="188"/>
        <w:rFonts w:hint="eastAsia"/>
      </w:rPr>
    </w:pPr>
    <w:r>
      <w:rPr>
        <w:rStyle w:val="188"/>
        <w:rFonts w:hint="eastAsia"/>
        <w:color w:val="FFFFFF"/>
      </w:rPr>
      <w:t>——</w:t>
    </w:r>
    <w:r>
      <w:rPr>
        <w:rStyle w:val="188"/>
        <w:rFonts w:hint="eastAsia"/>
        <w:b/>
        <w:sz w:val="28"/>
        <w:szCs w:val="28"/>
      </w:rPr>
      <w:t>—</w:t>
    </w:r>
    <w:r>
      <w:rPr>
        <w:rStyle w:val="188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188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188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188"/>
        <w:rFonts w:hint="eastAsia"/>
        <w:color w:val="FFFFFF"/>
      </w:rPr>
      <w:t>—</w:t>
    </w:r>
    <w:r>
      <w:rPr>
        <w:rStyle w:val="188"/>
        <w:rFonts w:hint="eastAsia"/>
        <w:b/>
        <w:sz w:val="28"/>
        <w:szCs w:val="28"/>
      </w:rPr>
      <w:t>—</w:t>
    </w:r>
    <w:r>
      <w:rPr>
        <w:rStyle w:val="188"/>
        <w:rFonts w:hint="eastAsia"/>
        <w:color w:val="FFFFFF"/>
      </w:rPr>
      <w:t>——</w:t>
    </w:r>
  </w:p>
  <w:p>
    <w:pPr>
      <w:pStyle w:val="185"/>
      <w:ind w:right="360" w:firstLine="360"/>
      <w:rPr>
        <w:rStyle w:val="188"/>
        <w:szCs w:val="28"/>
      </w:rPr>
    </w:pPr>
  </w:p>
  <w:p>
    <w:pPr>
      <w:pStyle w:val="185"/>
      <w:ind w:right="360" w:firstLine="360"/>
      <w:rPr>
        <w:rStyle w:val="188"/>
        <w:szCs w:val="28"/>
      </w:rPr>
    </w:pPr>
  </w:p>
  <w:p>
    <w:pPr>
      <w:pStyle w:val="18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74C96"/>
    <w:rsid w:val="3F395D0F"/>
    <w:rsid w:val="549D29B7"/>
    <w:rsid w:val="64B21E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5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28">
    <w:name w:val="Default Paragraph Font"/>
    <w:unhideWhenUsed/>
    <w:uiPriority w:val="1"/>
  </w:style>
  <w:style w:type="table" w:default="1" w:styleId="32">
    <w:name w:val="Normal Table"/>
    <w:unhideWhenUsed/>
    <w:uiPriority w:val="99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29">
    <w:name w:val="endnote reference"/>
    <w:unhideWhenUsed/>
    <w:uiPriority w:val="99"/>
    <w:rPr>
      <w:vertAlign w:val="superscript"/>
    </w:rPr>
  </w:style>
  <w:style w:type="character" w:styleId="30">
    <w:name w:val="Hyperlink"/>
    <w:unhideWhenUsed/>
    <w:uiPriority w:val="99"/>
    <w:rPr>
      <w:color w:val="0000FF" w:themeColor="hyperlink"/>
      <w:u w:val="single"/>
    </w:rPr>
  </w:style>
  <w:style w:type="character" w:styleId="31">
    <w:name w:val="footnote reference"/>
    <w:unhideWhenUsed/>
    <w:uiPriority w:val="99"/>
    <w:rPr>
      <w:vertAlign w:val="superscript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customStyle="1" w:styleId="43">
    <w:name w:val="List Paragraph"/>
    <w:basedOn w:val="1"/>
    <w:qFormat/>
    <w:uiPriority w:val="34"/>
    <w:pPr>
      <w:ind w:left="720"/>
      <w:contextualSpacing/>
    </w:pPr>
  </w:style>
  <w:style w:type="paragraph" w:customStyle="1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customStyle="1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customStyle="1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7">
    <w:name w:val="Plain Table 3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>
        <w:tblLayout w:type="fixed"/>
      </w:tblPr>
    </w:tblStylePr>
    <w:tblStylePr w:type="firstCol">
      <w:rPr>
        <w:b/>
        <w:caps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8">
    <w:name w:val="Plain Table 4"/>
    <w:qFormat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59">
    <w:name w:val="Plain Table 5"/>
    <w:qFormat/>
    <w:uiPriority w:val="99"/>
    <w:pPr>
      <w:spacing w:after="0" w:line="240" w:lineRule="auto"/>
    </w:pPr>
    <w:tblPr>
      <w:tblLayout w:type="fixed"/>
    </w:tblPr>
    <w:tblStylePr w:type="firstRow">
      <w:rPr>
        <w:i/>
        <w:color w:val="404040"/>
      </w:rPr>
      <w:tblPr>
        <w:tblLayout w:type="fixed"/>
      </w:tbl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Layout w:type="fixed"/>
      </w:tbl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Layout w:type="fixed"/>
      </w:tbl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CE6F2" w:themeColor="accent1" w:themeTint="32" w:fill="DCE6F2" w:themeFill="accent1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band1Vert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898989" w:themeColor="text1" w:themeTint="75" w:fill="898989" w:themeFill="tex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band1Vert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EC5E0" w:themeColor="accent1" w:themeTint="75" w:fill="AEC5E0" w:themeFill="accent1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band1Vert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2AEAD" w:themeColor="accent2" w:themeTint="75" w:fill="E2AEAD" w:themeFill="accent2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band1Vert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DFB2" w:themeColor="accent3" w:themeTint="75" w:fill="D1DFB2" w:themeFill="accent3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band1Vert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C4B7D4" w:themeColor="accent4" w:themeTint="75" w:fill="C4B7D4" w:themeFill="accent4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ACD8E4" w:themeColor="accent5" w:themeTint="75" w:fill="ACD8E4" w:themeFill="accent5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>
        <w:tblLayout w:type="fixed"/>
      </w:tbl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BCEAA" w:themeColor="accent6" w:themeTint="75" w:fill="FBCEAA" w:themeFill="accent6" w:themeFillTint="75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7E7E7E" w:themeColor="text1" w:themeShade="95" w:themeTint="80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>
        <w:tblLayout w:type="fixed"/>
      </w:tblPr>
    </w:tblStylePr>
    <w:tblStylePr w:type="firstCol">
      <w:rPr>
        <w:b/>
        <w:color w:val="7E7E7E" w:themeColor="text1" w:themeShade="95" w:themeTint="80"/>
      </w:rPr>
      <w:tblPr>
        <w:tblLayout w:type="fixed"/>
      </w:tblPr>
    </w:tblStylePr>
    <w:tblStylePr w:type="lastCol">
      <w:rPr>
        <w:b/>
        <w:color w:val="7E7E7E" w:themeColor="text1" w:themeShade="95" w:themeTint="80"/>
      </w:rPr>
      <w:tblPr>
        <w:tblLayout w:type="fixed"/>
      </w:tblPr>
    </w:tblStylePr>
    <w:tblStylePr w:type="band1Vert"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6BFDD" w:themeColor="accent1" w:themeShade="95" w:themeTint="80"/>
      </w:rPr>
      <w:tblPr>
        <w:tblLayout w:type="fixed"/>
      </w:tbl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>
        <w:tblLayout w:type="fixed"/>
      </w:tblPr>
    </w:tblStylePr>
    <w:tblStylePr w:type="firstCol">
      <w:rPr>
        <w:b/>
        <w:color w:val="A6BFDD" w:themeColor="accent1" w:themeShade="95" w:themeTint="80"/>
      </w:rPr>
      <w:tblPr>
        <w:tblLayout w:type="fixed"/>
      </w:tblPr>
    </w:tblStylePr>
    <w:tblStylePr w:type="lastCol">
      <w:rPr>
        <w:b/>
        <w:color w:val="A6BFDD" w:themeColor="accent1" w:themeShade="95" w:themeTint="80"/>
      </w:rPr>
      <w:tblPr>
        <w:tblLayout w:type="fixed"/>
      </w:tbl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>
        <w:tblLayout w:type="fixed"/>
      </w:tblPr>
    </w:tblStylePr>
    <w:tblStylePr w:type="firstCol">
      <w:rPr>
        <w:b/>
        <w:color w:val="D99795" w:themeColor="accent2" w:themeShade="95" w:themeTint="97"/>
      </w:rPr>
      <w:tblPr>
        <w:tblLayout w:type="fixed"/>
      </w:tblPr>
    </w:tblStylePr>
    <w:tblStylePr w:type="lastCol">
      <w:rPr>
        <w:b/>
        <w:color w:val="D99795" w:themeColor="accent2" w:themeShade="95" w:themeTint="97"/>
      </w:rPr>
      <w:tblPr>
        <w:tblLayout w:type="fixed"/>
      </w:tbl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Shade="95" w:themeTint="FE"/>
      </w:rPr>
      <w:tblPr>
        <w:tblLayout w:type="fixed"/>
      </w:tbl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>
        <w:tblLayout w:type="fixed"/>
      </w:tblPr>
    </w:tblStylePr>
    <w:tblStylePr w:type="firstCol">
      <w:rPr>
        <w:b/>
        <w:color w:val="9BBB59" w:themeColor="accent3" w:themeShade="95" w:themeTint="FE"/>
      </w:rPr>
      <w:tblPr>
        <w:tblLayout w:type="fixed"/>
      </w:tblPr>
    </w:tblStylePr>
    <w:tblStylePr w:type="lastCol">
      <w:rPr>
        <w:b/>
        <w:color w:val="9BBB59" w:themeColor="accent3" w:themeShade="95" w:themeTint="FE"/>
      </w:rPr>
      <w:tblPr>
        <w:tblLayout w:type="fixed"/>
      </w:tbl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>
        <w:tblLayout w:type="fixed"/>
      </w:tblPr>
    </w:tblStylePr>
    <w:tblStylePr w:type="firstCol">
      <w:rPr>
        <w:b/>
        <w:color w:val="B2A1C6" w:themeColor="accent4" w:themeShade="95" w:themeTint="9A"/>
      </w:rPr>
      <w:tblPr>
        <w:tblLayout w:type="fixed"/>
      </w:tblPr>
    </w:tblStylePr>
    <w:tblStylePr w:type="lastCol">
      <w:rPr>
        <w:b/>
        <w:color w:val="B2A1C6" w:themeColor="accent4" w:themeShade="95" w:themeTint="9A"/>
      </w:rPr>
      <w:tblPr>
        <w:tblLayout w:type="fixed"/>
      </w:tbl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9" w:themeColor="accent5" w:themeShade="95"/>
      </w:rPr>
      <w:tblPr>
        <w:tblLayout w:type="fixed"/>
      </w:tbl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>
        <w:tblLayout w:type="fixed"/>
      </w:tblPr>
    </w:tblStylePr>
    <w:tblStylePr w:type="firstCol">
      <w:rPr>
        <w:b/>
        <w:color w:val="266779" w:themeColor="accent5" w:themeShade="95"/>
      </w:rPr>
      <w:tblPr>
        <w:tblLayout w:type="fixed"/>
      </w:tblPr>
    </w:tblStylePr>
    <w:tblStylePr w:type="lastCol">
      <w:rPr>
        <w:b/>
        <w:color w:val="266779" w:themeColor="accent5" w:themeShade="95"/>
      </w:rPr>
      <w:tblPr>
        <w:tblLayout w:type="fixed"/>
      </w:tbl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9" w:themeColor="accent5" w:themeShade="95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9" w:themeColor="accent5" w:themeShade="95"/>
      </w:rPr>
      <w:tblPr>
        <w:tblLayout w:type="fixed"/>
      </w:tbl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>
        <w:tblLayout w:type="fixed"/>
      </w:tblPr>
    </w:tblStylePr>
    <w:tblStylePr w:type="firstCol">
      <w:rPr>
        <w:b/>
        <w:color w:val="266779" w:themeColor="accent5" w:themeShade="95"/>
      </w:rPr>
      <w:tblPr>
        <w:tblLayout w:type="fixed"/>
      </w:tblPr>
    </w:tblStylePr>
    <w:tblStylePr w:type="lastCol">
      <w:rPr>
        <w:b/>
        <w:color w:val="266779" w:themeColor="accent5" w:themeShade="95"/>
      </w:rPr>
      <w:tblPr>
        <w:tblLayout w:type="fixed"/>
      </w:tbl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9" w:themeColor="accent5" w:themeShade="95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>
        <w:tblLayout w:type="fixed"/>
      </w:tbl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>
        <w:tblLayout w:type="fixed"/>
      </w:tbl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>
        <w:tblLayout w:type="fixed"/>
      </w:tbl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>
        <w:tblLayout w:type="fixed"/>
      </w:tbl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>
        <w:tblLayout w:type="fixed"/>
      </w:tbl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9" w:themeColor="accent5" w:themeShade="95"/>
        <w:sz w:val="22"/>
      </w:rPr>
      <w:tblPr>
        <w:tblLayout w:type="fixed"/>
      </w:tbl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>
        <w:tblLayout w:type="fixed"/>
      </w:tbl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66779" w:themeColor="accent5" w:themeShade="95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15407" w:themeColor="accent6" w:themeShade="95"/>
        <w:sz w:val="22"/>
      </w:rPr>
      <w:tblPr>
        <w:tblLayout w:type="fixed"/>
      </w:tbl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>
        <w:tblLayout w:type="fixed"/>
      </w:tbl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15407" w:themeColor="accent6" w:themeShade="95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09">
    <w:name w:val="List Table 1 Light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>
      <w:tblLayout w:type="fixed"/>
    </w:tblPr>
    <w:tblStylePr w:type="firstRow">
      <w:rPr>
        <w:b/>
        <w:color w:val="404040"/>
      </w:rPr>
      <w:tblPr>
        <w:tblLayout w:type="fixed"/>
      </w:tbl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>
        <w:tblLayout w:type="fixed"/>
      </w:tbl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Layout w:type="fixed"/>
      </w:tbl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b/>
        <w:color w:val="404040"/>
        <w:sz w:val="22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>
        <w:tblLayout w:type="fixed"/>
      </w:tblPr>
    </w:tblStylePr>
    <w:tblStylePr w:type="firstCol">
      <w:rPr>
        <w:b/>
        <w:color w:val="404040"/>
      </w:rPr>
      <w:tblPr>
        <w:tblLayout w:type="fixed"/>
      </w:tblPr>
    </w:tblStylePr>
    <w:tblStylePr w:type="lastCol">
      <w:rPr>
        <w:b/>
        <w:color w:val="404040"/>
      </w:rPr>
      <w:tblPr>
        <w:tblLayout w:type="fixed"/>
      </w:tblPr>
    </w:tblStylePr>
    <w:tblStylePr w:type="band1Vert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>
        <w:tblLayout w:type="fixed"/>
      </w:tblPr>
    </w:tblStylePr>
    <w:tblStylePr w:type="firstCol">
      <w:rPr>
        <w:rFonts w:ascii="Arial" w:hAnsi="Arial"/>
        <w:b/>
        <w:color w:val="FFFFFF" w:themeColor="light1"/>
        <w:sz w:val="22"/>
      </w:rPr>
      <w:tblPr>
        <w:tblLayout w:type="fixed"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>
        <w:tblLayout w:type="fixed"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>
        <w:tblLayout w:type="fixed"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>
        <w:tblLayout w:type="fixed"/>
      </w:tblPr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>
        <w:tblLayout w:type="fixed"/>
      </w:tblPr>
    </w:tblStylePr>
    <w:tblStylePr w:type="lastCol">
      <w:rPr>
        <w:b/>
        <w:color w:val="000000" w:themeColor="text1"/>
      </w:rPr>
      <w:tblPr>
        <w:tblLayout w:type="fixed"/>
      </w:tbl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000000" w:themeColor="text1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5"/>
      </w:rPr>
      <w:tblPr>
        <w:tblLayout w:type="fixed"/>
      </w:tbl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>
        <w:tblLayout w:type="fixed"/>
      </w:tbl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>
        <w:tblLayout w:type="fixed"/>
      </w:tblPr>
    </w:tblStylePr>
    <w:tblStylePr w:type="lastCol">
      <w:rPr>
        <w:b/>
        <w:color w:val="2A4B71" w:themeColor="accent1" w:themeShade="95"/>
      </w:rPr>
      <w:tblPr>
        <w:tblLayout w:type="fixed"/>
      </w:tbl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5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blPr>
        <w:tblLayout w:type="fixed"/>
      </w:tbl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>
        <w:tblLayout w:type="fixed"/>
      </w:tbl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>
        <w:tblLayout w:type="fixed"/>
      </w:tblPr>
    </w:tblStylePr>
    <w:tblStylePr w:type="lastCol">
      <w:rPr>
        <w:b/>
        <w:color w:val="D99795" w:themeColor="accent2" w:themeShade="95" w:themeTint="97"/>
      </w:rPr>
      <w:tblPr>
        <w:tblLayout w:type="fixed"/>
      </w:tbl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C" w:themeColor="accent3" w:themeShade="95" w:themeTint="98"/>
      </w:rPr>
      <w:tblPr>
        <w:tblLayout w:type="fixed"/>
      </w:tbl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>
        <w:tblLayout w:type="fixed"/>
      </w:tbl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>
        <w:tblLayout w:type="fixed"/>
      </w:tblPr>
    </w:tblStylePr>
    <w:tblStylePr w:type="lastCol">
      <w:rPr>
        <w:b/>
        <w:color w:val="C3D69C" w:themeColor="accent3" w:themeShade="95" w:themeTint="98"/>
      </w:rPr>
      <w:tblPr>
        <w:tblLayout w:type="fixed"/>
      </w:tbl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blPr>
        <w:tblLayout w:type="fixed"/>
      </w:tbl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>
        <w:tblLayout w:type="fixed"/>
      </w:tbl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>
        <w:tblLayout w:type="fixed"/>
      </w:tblPr>
    </w:tblStylePr>
    <w:tblStylePr w:type="lastCol">
      <w:rPr>
        <w:b/>
        <w:color w:val="B2A1C6" w:themeColor="accent4" w:themeShade="95" w:themeTint="9A"/>
      </w:rPr>
      <w:tblPr>
        <w:tblLayout w:type="fixed"/>
      </w:tbl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2CCDC" w:themeColor="accent5" w:themeShade="95" w:themeTint="9A"/>
      </w:rPr>
      <w:tblPr>
        <w:tblLayout w:type="fixed"/>
      </w:tbl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>
        <w:tblLayout w:type="fixed"/>
      </w:tbl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>
        <w:tblLayout w:type="fixed"/>
      </w:tblPr>
    </w:tblStylePr>
    <w:tblStylePr w:type="lastCol">
      <w:rPr>
        <w:b/>
        <w:color w:val="92CCDC" w:themeColor="accent5" w:themeShade="95" w:themeTint="9A"/>
      </w:rPr>
      <w:tblPr>
        <w:tblLayout w:type="fixed"/>
      </w:tbl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Shade="95" w:themeTint="98"/>
      </w:rPr>
      <w:tblPr>
        <w:tblLayout w:type="fixed"/>
      </w:tbl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>
        <w:tblLayout w:type="fixed"/>
      </w:tbl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>
        <w:tblLayout w:type="fixed"/>
      </w:tblPr>
    </w:tblStylePr>
    <w:tblStylePr w:type="lastCol">
      <w:rPr>
        <w:b/>
        <w:color w:val="FAC090" w:themeColor="accent6" w:themeShade="95" w:themeTint="98"/>
      </w:rPr>
      <w:tblPr>
        <w:tblLayout w:type="fixed"/>
      </w:tbl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>
        <w:tblLayout w:type="fixed"/>
      </w:tbl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>
        <w:tblLayout w:type="fixed"/>
      </w:tbl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2A4B71" w:themeColor="accent1" w:themeShade="95"/>
        <w:sz w:val="22"/>
      </w:rPr>
      <w:tblPr>
        <w:tblLayout w:type="fixed"/>
      </w:tbl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>
        <w:tblLayout w:type="fixed"/>
      </w:tbl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>
        <w:tblLayout w:type="fixed"/>
      </w:tbl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>
        <w:tblLayout w:type="fixed"/>
      </w:tbl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>
        <w:tblLayout w:type="fixed"/>
      </w:tbl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>
        <w:tblLayout w:type="fixed"/>
      </w:tbl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1F1F1" w:themeColor="text1" w:themeTint="0D" w:fill="F1F1F1" w:themeFill="text1" w:themeFillTint="0D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C7D7EA" w:themeColor="accent1" w:themeTint="50" w:fill="C7D7EA" w:themeFill="accent1" w:themeFillTint="50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2DCDC" w:themeColor="accent2" w:themeTint="32" w:fill="F2DCDC" w:themeFill="accent2" w:themeFillTint="32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AF1DD" w:themeColor="accent3" w:themeTint="34" w:fill="EAF1DD" w:themeFill="accent3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E5DFEC" w:themeColor="accent4" w:themeTint="34" w:fill="E5DFEC" w:themeFill="accent4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DAEEF3" w:themeColor="accent5" w:themeTint="34" w:fill="DAEEF3" w:themeFill="accent5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>
        <w:tblLayout w:type="fixed"/>
      </w:tbl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>
        <w:tblLayout w:type="fixed"/>
      </w:tblPr>
    </w:tblStylePr>
    <w:tblStylePr w:type="band2Vert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>
        <w:tblLayout w:type="fixed"/>
      </w:tblPr>
    </w:tblStylePr>
    <w:tblStylePr w:type="band2Horz">
      <w:rPr>
        <w:rFonts w:ascii="Arial" w:hAnsi="Arial"/>
        <w:color w:val="404040"/>
        <w:sz w:val="22"/>
      </w:rPr>
      <w:tblPr>
        <w:tblLayout w:type="fixed"/>
      </w:tblPr>
      <w:tcPr>
        <w:shd w:val="clear" w:color="FDE9D9" w:themeColor="accent6" w:themeTint="34" w:fill="FDE9D9" w:themeFill="accent6" w:themeFillTint="34"/>
      </w:tc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7E7E7E" w:themeColor="text1" w:themeTint="80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4F81BD" w:themeColor="accent1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D99795" w:themeColor="accent2" w:themeTint="97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C3D69C" w:themeColor="accent3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B2A1C6" w:themeColor="accent4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92CCDC" w:themeColor="accent5" w:themeTint="9A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blPr>
        <w:tblLayout w:type="fixed"/>
      </w:tbl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>
        <w:tblLayout w:type="fixed"/>
      </w:tblPr>
    </w:tblStylePr>
    <w:tblStylePr w:type="lastCol">
      <w:rPr>
        <w:rFonts w:ascii="Arial" w:hAnsi="Arial"/>
        <w:color w:val="404040"/>
        <w:sz w:val="22"/>
      </w:rPr>
      <w:tblPr>
        <w:tblLayout w:type="fixed"/>
      </w:tblPr>
      <w:tcPr>
        <w:tcBorders>
          <w:left w:val="single" w:color="FAC090" w:themeColor="accent6" w:themeTint="98" w:sz="12" w:space="0"/>
        </w:tcBorders>
      </w:tc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rPr>
        <w:rFonts w:ascii="Arial" w:hAnsi="Arial"/>
        <w:color w:val="404040"/>
        <w:sz w:val="22"/>
      </w:rPr>
      <w:tblPr>
        <w:tblLayout w:type="fixed"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宋体" w:cs="Times New Roman"/>
    </w:rPr>
  </w:style>
  <w:style w:type="paragraph" w:customStyle="1" w:styleId="182">
    <w:name w:val="标题 1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sz w:val="48"/>
      <w:szCs w:val="48"/>
    </w:rPr>
  </w:style>
  <w:style w:type="character" w:customStyle="1" w:styleId="183">
    <w:name w:val="默认段落字体1"/>
    <w:link w:val="1"/>
    <w:semiHidden/>
    <w:uiPriority w:val="0"/>
  </w:style>
  <w:style w:type="table" w:customStyle="1" w:styleId="184">
    <w:name w:val="普通表格1"/>
    <w:semiHidden/>
    <w:uiPriority w:val="0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paragraph" w:customStyle="1" w:styleId="185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6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187">
    <w:name w:val="网格型1"/>
    <w:basedOn w:val="184"/>
    <w:qFormat/>
    <w:uiPriority w:val="59"/>
    <w:tblPr>
      <w:tblLayout w:type="fixed"/>
    </w:tblPr>
    <w:tblStylePr w:type="firstRow">
      <w:tblPr>
        <w:tblLayout w:type="fixed"/>
      </w:tblPr>
    </w:tblStylePr>
    <w:tblStylePr w:type="lastRow">
      <w:tblPr>
        <w:tblLayout w:type="fixed"/>
      </w:tblPr>
    </w:tblStylePr>
    <w:tblStylePr w:type="firstCol">
      <w:tblPr>
        <w:tblLayout w:type="fixed"/>
      </w:tblPr>
    </w:tblStylePr>
    <w:tblStylePr w:type="lastCol">
      <w:tblPr>
        <w:tblLayout w:type="fixed"/>
      </w:tblPr>
    </w:tblStylePr>
    <w:tblStylePr w:type="band1Vert">
      <w:tblPr>
        <w:tblLayout w:type="fixed"/>
      </w:tblPr>
    </w:tblStylePr>
    <w:tblStylePr w:type="band2Vert">
      <w:tblPr>
        <w:tblLayout w:type="fixed"/>
      </w:tblPr>
    </w:tblStylePr>
    <w:tblStylePr w:type="band1Horz">
      <w:tblPr>
        <w:tblLayout w:type="fixed"/>
      </w:tblPr>
    </w:tblStylePr>
    <w:tblStylePr w:type="band2Horz">
      <w:tblPr>
        <w:tblLayout w:type="fixed"/>
      </w:tblPr>
    </w:tblStylePr>
    <w:tblStylePr w:type="neCell">
      <w:tblPr>
        <w:tblLayout w:type="fixed"/>
      </w:tblPr>
    </w:tblStylePr>
    <w:tblStylePr w:type="nwCell">
      <w:tblPr>
        <w:tblLayout w:type="fixed"/>
      </w:tblPr>
    </w:tblStylePr>
    <w:tblStylePr w:type="seCell">
      <w:tblPr>
        <w:tblLayout w:type="fixed"/>
      </w:tblPr>
    </w:tblStylePr>
    <w:tblStylePr w:type="swCell">
      <w:tblPr>
        <w:tblLayout w:type="fixed"/>
      </w:tblPr>
    </w:tblStylePr>
  </w:style>
  <w:style w:type="character" w:customStyle="1" w:styleId="188">
    <w:name w:val="页码1"/>
    <w:basedOn w:val="183"/>
    <w:link w:val="1"/>
    <w:uiPriority w:val="0"/>
    <w:rPr>
      <w:rFonts w:ascii="Times New Roman" w:hAnsi="Times New Roman" w:eastAsia="宋体" w:cs="Times New Roman"/>
    </w:rPr>
  </w:style>
  <w:style w:type="character" w:customStyle="1" w:styleId="189">
    <w:name w:val="font31"/>
    <w:basedOn w:val="183"/>
    <w:link w:val="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0">
    <w:name w:val="font01"/>
    <w:basedOn w:val="183"/>
    <w:link w:val="1"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191">
    <w:name w:val="font41"/>
    <w:basedOn w:val="183"/>
    <w:link w:val="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2">
    <w:name w:val="font101"/>
    <w:basedOn w:val="183"/>
    <w:link w:val="1"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193">
    <w:name w:val="font81"/>
    <w:basedOn w:val="183"/>
    <w:link w:val="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4">
    <w:name w:val="font71"/>
    <w:basedOn w:val="183"/>
    <w:link w:val="1"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95">
    <w:name w:val="font61"/>
    <w:basedOn w:val="183"/>
    <w:link w:val="1"/>
    <w:uiPriority w:val="0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</dc:creator>
  <cp:lastModifiedBy>bbangongshi</cp:lastModifiedBy>
  <dcterms:modified xsi:type="dcterms:W3CDTF">2025-12-26T03:43:23Z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