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spacing w:line="540" w:lineRule="exact"/>
        <w:textAlignment w:val="auto"/>
        <w:rPr>
          <w:rFonts w:hint="eastAsia" w:ascii="Times New Roman" w:hAnsi="Times New Roman" w:eastAsia="方正仿宋_GBK"/>
          <w:sz w:val="32"/>
          <w:szCs w:val="32"/>
        </w:rPr>
      </w:pPr>
      <w:bookmarkStart w:id="1" w:name="_GoBack"/>
      <w:bookmarkEnd w:id="1"/>
      <w:r>
        <w:rPr>
          <w:sz w:val="32"/>
        </w:rPr>
        <mc:AlternateContent>
          <mc:Choice Requires="wps">
            <w:drawing>
              <wp:anchor distT="0" distB="0" distL="114300" distR="114300" simplePos="0" relativeHeight="251659264" behindDoc="0" locked="0" layoutInCell="1" hidden="1" allowOverlap="1">
                <wp:simplePos x="0" y="0"/>
                <wp:positionH relativeFrom="column">
                  <wp:posOffset>-1270000</wp:posOffset>
                </wp:positionH>
                <wp:positionV relativeFrom="paragraph">
                  <wp:posOffset>-787400</wp:posOffset>
                </wp:positionV>
                <wp:extent cx="63500" cy="63500"/>
                <wp:effectExtent l="6350" t="6350" r="6350" b="6350"/>
                <wp:wrapNone/>
                <wp:docPr id="3" name="KGD_Gobal1" descr="lskY7P30+39SSS2ze3CC/D/zJC+E1LAjuo4hiWfHO1FEGigfOmqrAnGrT3Muh0m/XbDb79ZLfcOyX0wip1haSUh+PmGZcW4YeP/sa6/aAFo4yKhQdVRJ8kTVukVzd12StwwdmIPlz3AY0vAY20mEkmBcPU5x4t4RmGyZfiaRNwDR6BsFmSo7rY8YNeXY+0dzbLzSQdNg+aYLMd8h5gBuOYQNclVxdUBtDnPLlc6581V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D_Gobal1" o:spid="_x0000_s1026" o:spt="1" alt="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" style="position:absolute;left:0pt;margin-left:-100pt;margin-top:-62pt;height:5pt;width:5pt;visibility:hidden;z-index:251659264;v-text-anchor:middle;mso-width-relative:page;mso-height-relative:page;" fillcolor="#5B9BD5 [3204]" filled="t" stroked="t" coordsize="21600,21600" o:gfxdata="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">
                <v:fill on="t" focussize="0,0"/>
                <v:stroke weight="1pt" color="#41719C [3204]"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lang w:eastAsia="zh-CN"/>
        </w:rPr>
        <w:t>梁河县财政局</w:t>
      </w:r>
      <w:r>
        <w:rPr>
          <w:rFonts w:hint="default" w:ascii="Times New Roman" w:hAnsi="Times New Roman" w:eastAsia="方正小标宋_GBK" w:cs="Times New Roman"/>
          <w:sz w:val="44"/>
          <w:szCs w:val="44"/>
        </w:rPr>
        <w:t>关于下达202</w:t>
      </w:r>
      <w:r>
        <w:rPr>
          <w:rFonts w:hint="eastAsia"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w:t>
      </w:r>
      <w:r>
        <w:rPr>
          <w:rFonts w:hint="eastAsia" w:ascii="Times New Roman" w:hAnsi="Times New Roman" w:eastAsia="方正小标宋_GBK" w:cs="Times New Roman"/>
          <w:sz w:val="44"/>
          <w:szCs w:val="44"/>
          <w:lang w:eastAsia="zh-CN"/>
        </w:rPr>
        <w:t>省级</w:t>
      </w:r>
      <w:r>
        <w:rPr>
          <w:rFonts w:hint="default" w:ascii="Times New Roman" w:hAnsi="Times New Roman" w:eastAsia="方正小标宋_GBK" w:cs="Times New Roman"/>
          <w:sz w:val="44"/>
          <w:szCs w:val="44"/>
        </w:rPr>
        <w:t>财政</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eastAsia"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rPr>
        <w:t>衔接推进乡村振兴补助资金</w:t>
      </w:r>
      <w:r>
        <w:rPr>
          <w:rFonts w:hint="eastAsia" w:ascii="Times New Roman" w:hAnsi="Times New Roman" w:eastAsia="方正小标宋_GBK" w:cs="Times New Roman"/>
          <w:sz w:val="44"/>
          <w:szCs w:val="44"/>
          <w:lang w:eastAsia="zh-CN"/>
        </w:rPr>
        <w:t>正向激励</w:t>
      </w:r>
    </w:p>
    <w:p>
      <w:pPr>
        <w:keepNext w:val="0"/>
        <w:keepLines w:val="0"/>
        <w:pageBreakBefore w:val="0"/>
        <w:widowControl w:val="0"/>
        <w:kinsoku/>
        <w:wordWrap/>
        <w:overflowPunct/>
        <w:topLinePunct w:val="0"/>
        <w:autoSpaceDE/>
        <w:autoSpaceDN/>
        <w:bidi w:val="0"/>
        <w:adjustRightInd w:val="0"/>
        <w:snapToGrid w:val="0"/>
        <w:spacing w:line="600" w:lineRule="exact"/>
        <w:jc w:val="center"/>
        <w:textAlignment w:val="auto"/>
        <w:rPr>
          <w:rFonts w:hint="default" w:ascii="Times New Roman" w:hAnsi="Times New Roman" w:eastAsia="方正小标宋_GBK" w:cs="Times New Roman"/>
          <w:sz w:val="44"/>
          <w:szCs w:val="44"/>
        </w:rPr>
      </w:pPr>
      <w:r>
        <w:rPr>
          <w:rFonts w:hint="eastAsia" w:ascii="Times New Roman" w:hAnsi="Times New Roman" w:eastAsia="方正小标宋_GBK" w:cs="Times New Roman"/>
          <w:sz w:val="44"/>
          <w:szCs w:val="44"/>
          <w:lang w:eastAsia="zh-CN"/>
        </w:rPr>
        <w:t>调整资金</w:t>
      </w:r>
      <w:r>
        <w:rPr>
          <w:rFonts w:hint="default" w:ascii="Times New Roman" w:hAnsi="Times New Roman" w:eastAsia="方正小标宋_GBK" w:cs="Times New Roman"/>
          <w:sz w:val="44"/>
          <w:szCs w:val="44"/>
        </w:rPr>
        <w:t>的通知</w:t>
      </w:r>
    </w:p>
    <w:p>
      <w:pPr>
        <w:keepNext w:val="0"/>
        <w:keepLines w:val="0"/>
        <w:pageBreakBefore w:val="0"/>
        <w:widowControl w:val="0"/>
        <w:kinsoku/>
        <w:wordWrap/>
        <w:overflowPunct/>
        <w:topLinePunct w:val="0"/>
        <w:autoSpaceDE/>
        <w:autoSpaceDN/>
        <w:bidi w:val="0"/>
        <w:adjustRightInd w:val="0"/>
        <w:snapToGrid w:val="0"/>
        <w:spacing w:line="600" w:lineRule="exact"/>
        <w:jc w:val="left"/>
        <w:textAlignment w:val="auto"/>
        <w:rPr>
          <w:rFonts w:hint="eastAsia" w:ascii="Times New Roman" w:hAnsi="Times New Roman" w:eastAsia="方正仿宋_GBK" w:cs="方正仿宋_GBK"/>
          <w:sz w:val="32"/>
          <w:szCs w:val="32"/>
          <w:lang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u w:val="none"/>
          <w:lang w:eastAsia="zh-CN"/>
        </w:rPr>
        <w:t>梁河县农业农村局、</w:t>
      </w:r>
      <w:r>
        <w:rPr>
          <w:rFonts w:hint="eastAsia" w:ascii="Times New Roman" w:hAnsi="Times New Roman" w:eastAsia="方正仿宋_GBK" w:cs="Times New Roman"/>
          <w:sz w:val="32"/>
          <w:szCs w:val="32"/>
          <w:u w:val="none"/>
          <w:lang w:val="en-US" w:eastAsia="zh-CN"/>
        </w:rPr>
        <w:t>县工业和商务科技局、</w:t>
      </w:r>
      <w:r>
        <w:rPr>
          <w:rFonts w:hint="default" w:ascii="Times New Roman" w:hAnsi="Times New Roman" w:eastAsia="方正仿宋_GBK" w:cs="Times New Roman"/>
          <w:sz w:val="32"/>
          <w:szCs w:val="32"/>
          <w:u w:val="none"/>
          <w:lang w:eastAsia="zh-CN"/>
        </w:rPr>
        <w:t>河西乡人民政府</w:t>
      </w:r>
      <w:r>
        <w:rPr>
          <w:rFonts w:hint="default" w:ascii="Times New Roman" w:hAnsi="Times New Roman" w:eastAsia="方正仿宋_GBK" w:cs="Times New Roman"/>
          <w:sz w:val="32"/>
          <w:szCs w:val="32"/>
          <w:lang w:eastAsia="zh-CN"/>
        </w:rPr>
        <w:t>：</w:t>
      </w:r>
      <w:bookmarkStart w:id="0" w:name="Content"/>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rightChars="0" w:firstLine="707" w:firstLineChars="221"/>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根据《</w:t>
      </w:r>
      <w:r>
        <w:rPr>
          <w:rFonts w:hint="default" w:ascii="Times New Roman" w:hAnsi="Times New Roman" w:eastAsia="方正仿宋_GBK" w:cs="Times New Roman"/>
          <w:sz w:val="32"/>
          <w:szCs w:val="32"/>
          <w:lang w:eastAsia="zh-CN"/>
        </w:rPr>
        <w:t>德宏州财政局</w:t>
      </w:r>
      <w:r>
        <w:rPr>
          <w:rFonts w:hint="default" w:ascii="Times New Roman" w:hAnsi="Times New Roman" w:eastAsia="方正仿宋_GBK" w:cs="Times New Roman"/>
          <w:sz w:val="32"/>
          <w:szCs w:val="32"/>
        </w:rPr>
        <w:t>关于下达202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w:t>
      </w:r>
      <w:r>
        <w:rPr>
          <w:rFonts w:hint="default" w:ascii="Times New Roman" w:hAnsi="Times New Roman" w:eastAsia="方正仿宋_GBK" w:cs="Times New Roman"/>
          <w:sz w:val="32"/>
          <w:szCs w:val="32"/>
          <w:lang w:eastAsia="zh-CN"/>
        </w:rPr>
        <w:t>正向激励调整资金</w:t>
      </w:r>
      <w:r>
        <w:rPr>
          <w:rFonts w:hint="default" w:ascii="Times New Roman" w:hAnsi="Times New Roman" w:eastAsia="方正仿宋_GBK" w:cs="Times New Roman"/>
          <w:sz w:val="32"/>
          <w:szCs w:val="32"/>
        </w:rPr>
        <w:t>的通知》（</w:t>
      </w:r>
      <w:r>
        <w:rPr>
          <w:rFonts w:hint="default" w:ascii="Times New Roman" w:hAnsi="Times New Roman" w:eastAsia="方正仿宋_GBK" w:cs="Times New Roman"/>
          <w:sz w:val="32"/>
          <w:szCs w:val="32"/>
          <w:lang w:eastAsia="zh-CN"/>
        </w:rPr>
        <w:t>德</w:t>
      </w:r>
      <w:r>
        <w:rPr>
          <w:rFonts w:hint="default" w:ascii="Times New Roman" w:hAnsi="Times New Roman" w:eastAsia="方正仿宋_GBK" w:cs="Times New Roman"/>
          <w:sz w:val="32"/>
          <w:szCs w:val="32"/>
        </w:rPr>
        <w:t>财农〔202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93</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lang w:val="en-US" w:eastAsia="zh-CN"/>
        </w:rPr>
        <w:t>《梁河县人民政府关于2023年省级财政衔接推进乡村振兴补助资金正向激励调整资金分配方案的批复》(梁政复〔2023〕216号）</w:t>
      </w:r>
      <w:r>
        <w:rPr>
          <w:rFonts w:hint="default" w:ascii="Times New Roman" w:hAnsi="Times New Roman" w:eastAsia="方正仿宋_GBK" w:cs="Times New Roman"/>
          <w:sz w:val="32"/>
          <w:szCs w:val="32"/>
        </w:rPr>
        <w:t>要求，</w:t>
      </w:r>
      <w:r>
        <w:rPr>
          <w:rFonts w:hint="default" w:ascii="Times New Roman" w:hAnsi="Times New Roman" w:eastAsia="方正仿宋_GBK" w:cs="Times New Roman"/>
          <w:sz w:val="32"/>
          <w:szCs w:val="32"/>
          <w:lang w:val="en-US" w:eastAsia="zh-CN"/>
        </w:rPr>
        <w:t>为贯彻落实全省巩固拓展脱贫攻坚成果同乡村振兴有效衔接工作及考核评估发现问题整改会议精神，做好预算执行和绩效管理结果运用，督促各类渠道发现问题整改，树立资金支出越快、绩效管理越好、支持力度越大的鲜明导向，进一步提升全省衔接资金管理使用水平，争取在2023年度绩效评价中实现从“B”到“A”，根据衔接资金绩效评价办法、加强衔接资金使用管理的实施意见等相关规定，州财政局对2023年衔接资金分配情况进行了适当调整，从预算执行慢的地区调整到快的地区，绩效差的地区调整到绩效好的地区，同时将尚未下达的省级衔接资金通过奖励的形式一并测算下达，</w:t>
      </w:r>
      <w:r>
        <w:rPr>
          <w:rFonts w:hint="default" w:ascii="Times New Roman" w:hAnsi="Times New Roman" w:eastAsia="方正仿宋_GBK" w:cs="Times New Roman"/>
          <w:sz w:val="32"/>
          <w:szCs w:val="32"/>
        </w:rPr>
        <w:t>现将202</w:t>
      </w:r>
      <w:r>
        <w:rPr>
          <w:rFonts w:hint="default"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rPr>
        <w:t>年</w:t>
      </w:r>
      <w:r>
        <w:rPr>
          <w:rFonts w:hint="default" w:ascii="Times New Roman" w:hAnsi="Times New Roman" w:eastAsia="方正仿宋_GBK" w:cs="Times New Roman"/>
          <w:sz w:val="32"/>
          <w:szCs w:val="32"/>
          <w:lang w:eastAsia="zh-CN"/>
        </w:rPr>
        <w:t>省级</w:t>
      </w:r>
      <w:r>
        <w:rPr>
          <w:rFonts w:hint="default" w:ascii="Times New Roman" w:hAnsi="Times New Roman" w:eastAsia="方正仿宋_GBK" w:cs="Times New Roman"/>
          <w:sz w:val="32"/>
          <w:szCs w:val="32"/>
        </w:rPr>
        <w:t>财政衔接推进乡村振兴补助资金下达你们（</w:t>
      </w:r>
      <w:r>
        <w:rPr>
          <w:rFonts w:hint="default" w:ascii="Times New Roman" w:hAnsi="Times New Roman" w:eastAsia="方正仿宋_GBK" w:cs="Times New Roman"/>
          <w:sz w:val="32"/>
          <w:szCs w:val="32"/>
          <w:lang w:eastAsia="zh-CN"/>
        </w:rPr>
        <w:t>具体明细</w:t>
      </w:r>
      <w:r>
        <w:rPr>
          <w:rFonts w:hint="default" w:ascii="Times New Roman" w:hAnsi="Times New Roman" w:eastAsia="方正仿宋_GBK" w:cs="Times New Roman"/>
          <w:sz w:val="32"/>
          <w:szCs w:val="32"/>
        </w:rPr>
        <w:t>详见附件），支出列2023年“21305－巩固脱贫衔接乡村振兴”相关科目（“项级”科目根据具体实施项目确定），经济科目列“51301－上下级政府间转移性支出”。根据具体情况列支经济分类科目</w:t>
      </w:r>
      <w:r>
        <w:rPr>
          <w:rFonts w:hint="default"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现就资金使用管理有关事宜通知如下：</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val="en-US" w:eastAsia="zh-CN"/>
        </w:rPr>
        <w:t>一、资金扣减及分配情况。</w:t>
      </w:r>
      <w:r>
        <w:rPr>
          <w:rFonts w:hint="eastAsia" w:ascii="Times New Roman" w:hAnsi="Times New Roman" w:eastAsia="方正仿宋_GBK" w:cs="方正仿宋_GBK"/>
          <w:sz w:val="32"/>
          <w:szCs w:val="32"/>
          <w:lang w:val="en-US" w:eastAsia="zh-CN"/>
        </w:rPr>
        <w:t>本次主要根据各县市支出进度实施奖惩，适当扣减低于序时进度地区资金调整安排至达到序时进度地区，突显奖惩激励：一是突出支出进度考核原则，对截至7月15日支出低于序时进度的县市适当扣减资金。二是日常监管发现问题予以惩罚原则，对省级直达资金系统日常监管发现问题的县市适当扣减资金。三是专项监督发现问题予以惩罚原则，对2023年省以上渠道监督检查发现问题的县市适当扣减资金。四是虚列支出套取奖励资金予以扣回原则，对监督检查中发现虚列支出抬高支出进度获取省级奖励资金的县市扣回奖励资金。资金分配重点支持巩固成果难度大、资金使用进度快的地区：一是突出支出进度奖励原则，对截至7月15日达到序时进度的县市按7月15日和8月31日两个时点支出情况给予奖励。二是避免资金“撒胡椒面”原则，资金分配限于支出金额大于2000万元的县市。三是虚列支出套取奖励资金不予奖励原则，对今年以来监督检查发现2022年度支出数据作假的县市不予奖励。四是监管发现问题多及问题性质严重不予奖励原则，对日常监管发现问题大于5个以上，以及监督发现问题性质严重的县市不予奖励</w:t>
      </w:r>
      <w:r>
        <w:rPr>
          <w:rFonts w:hint="eastAsia" w:ascii="Times New Roman" w:hAnsi="Times New Roman"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二、切实管好用好衔接资金。</w:t>
      </w:r>
      <w:r>
        <w:rPr>
          <w:rFonts w:hint="eastAsia" w:ascii="Times New Roman" w:hAnsi="Times New Roman" w:eastAsia="方正仿宋_GBK" w:cs="方正仿宋_GBK"/>
          <w:sz w:val="32"/>
          <w:szCs w:val="32"/>
          <w:lang w:eastAsia="zh-CN"/>
        </w:rPr>
        <w:t>认真贯彻落实党中央、国务院和省委省政府关于巩固拓展脱贫攻坚成果同乡村振兴有效衔接的决策部署，严格按照《云南省财政衔接推进乡村振兴补助资金管理办法》（云财农〔2021〕140号）和《云南省财政厅等6部门关于加强中央和省级财政衔接推进乡村振兴补助资金使用管理的实施意见》（云财规〔2022〕23号）规定和要求安排使用资金，加强资金项目管理，优先选择前期工作到位的项目，将资金尽快落实到具体项目，加强项目实施跟踪调度和全面绩效管理，加快资金支出。持续强化资金监管，切实管好用好资金，充分发挥资金使用效益。特别是要以本次奖惩为契机，深入推进各渠道发现问题整改，举一反三不断提升衔接资金管理使用水平。</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三、突出衔接资金支持重点。</w:t>
      </w:r>
      <w:r>
        <w:rPr>
          <w:rFonts w:hint="eastAsia" w:ascii="Times New Roman" w:hAnsi="Times New Roman" w:eastAsia="方正仿宋_GBK" w:cs="方正仿宋_GBK"/>
          <w:sz w:val="32"/>
          <w:szCs w:val="32"/>
          <w:lang w:eastAsia="zh-CN"/>
        </w:rPr>
        <w:t>贯彻落实党的二十大精神、中央和省委省政府关于更多依靠发展来巩固拓展脱贫攻坚成果的要求，突出衔接资金支持重点，优先支持联农带农富农产业发展，2023年用于产业发展的省级衔接资金占比不得低于下达资金总规模的52%，进一步巩固拓展脱贫攻坚成果，增强脱贫地区和脱贫群众内生发展动力。</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Times New Roman" w:hAnsi="Times New Roman" w:eastAsia="方正仿宋_GBK" w:cs="方正仿宋_GBK"/>
          <w:sz w:val="32"/>
          <w:szCs w:val="32"/>
          <w:lang w:eastAsia="zh-CN"/>
        </w:rPr>
      </w:pPr>
      <w:r>
        <w:rPr>
          <w:rFonts w:hint="eastAsia" w:ascii="方正黑体_GBK" w:hAnsi="方正黑体_GBK" w:eastAsia="方正黑体_GBK" w:cs="方正黑体_GBK"/>
          <w:sz w:val="32"/>
          <w:szCs w:val="32"/>
          <w:lang w:eastAsia="zh-CN"/>
        </w:rPr>
        <w:t>四、实行脱贫县财政涉农资金统筹整合。</w:t>
      </w:r>
      <w:r>
        <w:rPr>
          <w:rFonts w:hint="eastAsia" w:ascii="Times New Roman" w:hAnsi="Times New Roman" w:eastAsia="方正仿宋_GBK" w:cs="方正仿宋_GBK"/>
          <w:sz w:val="32"/>
          <w:szCs w:val="32"/>
          <w:lang w:eastAsia="zh-CN"/>
        </w:rPr>
        <w:t>安排给</w:t>
      </w:r>
      <w:r>
        <w:rPr>
          <w:rFonts w:hint="eastAsia" w:ascii="Times New Roman" w:hAnsi="Times New Roman" w:eastAsia="方正仿宋_GBK" w:cs="方正仿宋_GBK"/>
          <w:sz w:val="32"/>
          <w:szCs w:val="32"/>
          <w:lang w:val="en-US" w:eastAsia="zh-CN"/>
        </w:rPr>
        <w:t>4</w:t>
      </w:r>
      <w:r>
        <w:rPr>
          <w:rFonts w:hint="eastAsia" w:ascii="Times New Roman" w:hAnsi="Times New Roman" w:eastAsia="方正仿宋_GBK" w:cs="方正仿宋_GBK"/>
          <w:sz w:val="32"/>
          <w:szCs w:val="32"/>
          <w:lang w:eastAsia="zh-CN"/>
        </w:rPr>
        <w:t>个脱贫县的资金，落实财政部等11个部委《关于继续支持脱贫县统筹整合使用财政涉农资金工作的通知》（财农〔2021〕22号）和省财政厅等11个厅局《关于继续支持脱贫县统筹整合使用财政涉农资金工作的通知》（云财农〔2021〕153号）规定，分配给整合试点脱贫县的资金一律采取“切块下达”，资金项目审批权限完全下放到县，不得以任何形式干扰整合试点工作脱贫县统筹整合使用资金。此次下达的资金因脱贫县涉农资金整合需调整绩效目标的，不再考核该部分资金对应的原任务完成情况，并按规定纳入相应部门绩效管理，请按规定备案。</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textAlignment w:val="auto"/>
        <w:outlineLvl w:val="9"/>
        <w:rPr>
          <w:rFonts w:hint="eastAsia" w:ascii="方正仿宋_GBK" w:hAnsi="方正仿宋_GBK" w:eastAsia="方正仿宋_GBK" w:cs="方正仿宋_GBK"/>
          <w:sz w:val="32"/>
          <w:szCs w:val="32"/>
        </w:rPr>
      </w:pPr>
      <w:r>
        <w:rPr>
          <w:rFonts w:hint="eastAsia" w:ascii="方正黑体_GBK" w:hAnsi="方正黑体_GBK" w:eastAsia="方正黑体_GBK" w:cs="方正黑体_GBK"/>
          <w:sz w:val="32"/>
          <w:szCs w:val="32"/>
          <w:lang w:eastAsia="zh-CN"/>
        </w:rPr>
        <w:t>五、落实直达资金管理要求。</w:t>
      </w:r>
      <w:r>
        <w:rPr>
          <w:rFonts w:hint="eastAsia" w:ascii="Times New Roman" w:hAnsi="Times New Roman" w:eastAsia="方正仿宋_GBK" w:cs="方正仿宋_GBK"/>
          <w:sz w:val="32"/>
          <w:szCs w:val="32"/>
          <w:lang w:eastAsia="zh-CN"/>
        </w:rPr>
        <w:t>此次下达的省级衔接资金列入直达资金管理，直达资金标识贯穿资金分配、拨付、使用等整个环节，省财政厅对直达资金实行动态监控。各级财政部门在向下级下达资金时，应单独下达预算指标文件，保持省级直达资金标识不变。同时，在指标管理系统中及时登录有关指标和直达资金标识，并导入直达资金监控系统，确保数据真实、账目清晰、流向明确。对于资金来源既包含省级直达资金又包含其他各级对应资金的项目，应在预算指标文件、指标管理系统中按资金明细来源分别列示和登录指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0" w:right="0" w:rightChars="0" w:firstLine="640" w:firstLineChars="200"/>
        <w:textAlignment w:val="auto"/>
        <w:outlineLvl w:val="9"/>
        <w:rPr>
          <w:rFonts w:hint="eastAsia" w:ascii="方正仿宋_GBK" w:hAnsi="方正仿宋_GBK" w:eastAsia="方正仿宋_GBK" w:cs="方正仿宋_GBK"/>
          <w:sz w:val="32"/>
          <w:szCs w:val="32"/>
        </w:rPr>
      </w:pPr>
      <w:r>
        <w:rPr>
          <w:sz w:val="32"/>
        </w:rPr>
        <mc:AlternateContent>
          <mc:Choice Requires="wps">
            <w:drawing>
              <wp:anchor distT="0" distB="0" distL="114300" distR="114300" simplePos="0" relativeHeight="251660288" behindDoc="0" locked="0" layoutInCell="1" allowOverlap="1">
                <wp:simplePos x="0" y="0"/>
                <wp:positionH relativeFrom="column">
                  <wp:posOffset>-4923155</wp:posOffset>
                </wp:positionH>
                <wp:positionV relativeFrom="paragraph">
                  <wp:posOffset>-6260465</wp:posOffset>
                </wp:positionV>
                <wp:extent cx="15120620" cy="21384260"/>
                <wp:effectExtent l="0" t="0" r="0" b="0"/>
                <wp:wrapNone/>
                <wp:docPr id="6" name="KG_Shd_5"/>
                <wp:cNvGraphicFramePr/>
                <a:graphic xmlns:a="http://schemas.openxmlformats.org/drawingml/2006/main">
                  <a:graphicData uri="http://schemas.microsoft.com/office/word/2010/wordprocessingShape">
                    <wps:wsp>
                      <wps:cNvSpPr/>
                      <wps:spPr>
                        <a:xfrm>
                          <a:off x="0" y="0"/>
                          <a:ext cx="15120620" cy="21384260"/>
                        </a:xfrm>
                        <a:prstGeom prst="rect">
                          <a:avLst/>
                        </a:prstGeom>
                        <a:solidFill>
                          <a:srgbClr val="FFFFFF">
                            <a:alpha val="0"/>
                          </a:srgbClr>
                        </a:solidFill>
                        <a:ln>
                          <a:solidFill>
                            <a:srgbClr val="FFFFFF">
                              <a:alpha val="0"/>
                            </a:srgb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KG_Shd_5" o:spid="_x0000_s1026" o:spt="1" style="position:absolute;left:0pt;margin-left:-387.65pt;margin-top:-492.95pt;height:1683.8pt;width:1190.6pt;z-index:251660288;v-text-anchor:middle;mso-width-relative:page;mso-height-relative:page;" fillcolor="#FFFFFF" filled="t" stroked="t" coordsize="21600,21600" o:gfxdata="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">
                <v:fill on="t" opacity="0f" focussize="0,0"/>
                <v:stroke weight="1pt" color="#FFFFFF [3204]" opacity="0f" miterlimit="8" joinstyle="miter"/>
                <v:imagedata o:title=""/>
                <o:lock v:ext="edit" aspectratio="f"/>
              </v:rect>
            </w:pict>
          </mc:Fallback>
        </mc:AlternateContent>
      </w:r>
      <w:r>
        <w:rPr>
          <w:rFonts w:hint="default" w:ascii="Times New Roman" w:hAnsi="Times New Roman" w:eastAsia="方正仿宋_GBK" w:cs="Times New Roman"/>
          <w:sz w:val="32"/>
          <w:szCs w:val="32"/>
          <w:lang w:eastAsia="zh-CN"/>
        </w:rPr>
        <w:t>请项目单位</w:t>
      </w:r>
      <w:r>
        <w:rPr>
          <w:rFonts w:hint="default" w:ascii="Times New Roman" w:hAnsi="Times New Roman" w:eastAsia="方正仿宋_GBK" w:cs="Times New Roman"/>
          <w:b w:val="0"/>
          <w:bCs w:val="0"/>
          <w:sz w:val="32"/>
          <w:szCs w:val="32"/>
          <w:lang w:val="en-US" w:eastAsia="zh-CN"/>
        </w:rPr>
        <w:t>根据</w:t>
      </w:r>
      <w:r>
        <w:rPr>
          <w:rFonts w:hint="default" w:ascii="Times New Roman" w:hAnsi="Times New Roman" w:eastAsia="方正仿宋_GBK" w:cs="Times New Roman"/>
          <w:sz w:val="32"/>
          <w:szCs w:val="32"/>
        </w:rPr>
        <w:t>梁财字〔20</w:t>
      </w:r>
      <w:r>
        <w:rPr>
          <w:rFonts w:hint="default" w:ascii="Times New Roman" w:hAnsi="Times New Roman" w:eastAsia="方正仿宋_GBK" w:cs="Times New Roman"/>
          <w:sz w:val="32"/>
          <w:szCs w:val="32"/>
          <w:lang w:val="en-US" w:eastAsia="zh-CN"/>
        </w:rPr>
        <w:t>21</w:t>
      </w:r>
      <w:r>
        <w:rPr>
          <w:rFonts w:hint="default" w:ascii="Times New Roman" w:hAnsi="Times New Roman" w:eastAsia="方正仿宋_GBK" w:cs="Times New Roman"/>
          <w:sz w:val="32"/>
          <w:szCs w:val="32"/>
        </w:rPr>
        <w:t>〕</w:t>
      </w:r>
      <w:r>
        <w:rPr>
          <w:rFonts w:hint="default" w:ascii="Times New Roman" w:hAnsi="Times New Roman" w:eastAsia="方正仿宋_GBK" w:cs="Times New Roman"/>
          <w:sz w:val="32"/>
          <w:szCs w:val="32"/>
          <w:lang w:val="en-US" w:eastAsia="zh-CN"/>
        </w:rPr>
        <w:t>1</w:t>
      </w:r>
      <w:r>
        <w:rPr>
          <w:rFonts w:hint="default" w:ascii="Times New Roman" w:hAnsi="Times New Roman" w:eastAsia="方正仿宋_GBK" w:cs="Times New Roman"/>
          <w:sz w:val="32"/>
          <w:szCs w:val="32"/>
          <w:lang w:eastAsia="zh-CN"/>
        </w:rPr>
        <w:t>1</w:t>
      </w:r>
      <w:r>
        <w:rPr>
          <w:rFonts w:hint="default" w:ascii="Times New Roman" w:hAnsi="Times New Roman" w:eastAsia="方正仿宋_GBK" w:cs="Times New Roman"/>
          <w:sz w:val="32"/>
          <w:szCs w:val="32"/>
        </w:rPr>
        <w:t>号</w:t>
      </w:r>
      <w:r>
        <w:rPr>
          <w:rFonts w:hint="default" w:ascii="Times New Roman" w:hAnsi="Times New Roman" w:eastAsia="方正仿宋_GBK" w:cs="Times New Roman"/>
          <w:sz w:val="32"/>
          <w:szCs w:val="32"/>
          <w:lang w:eastAsia="zh-CN"/>
        </w:rPr>
        <w:t>文件要求，在收到县财政局下达的纸质指标文件</w:t>
      </w:r>
      <w:r>
        <w:rPr>
          <w:rFonts w:hint="default" w:ascii="Times New Roman" w:hAnsi="Times New Roman" w:eastAsia="方正仿宋_GBK" w:cs="Times New Roman"/>
          <w:sz w:val="32"/>
          <w:szCs w:val="32"/>
          <w:lang w:val="en-US" w:eastAsia="zh-CN"/>
        </w:rPr>
        <w:t>5个工作日内，</w:t>
      </w:r>
      <w:r>
        <w:rPr>
          <w:rFonts w:hint="default" w:ascii="Times New Roman" w:hAnsi="Times New Roman" w:eastAsia="方正仿宋_GBK" w:cs="Times New Roman"/>
          <w:sz w:val="32"/>
          <w:szCs w:val="32"/>
          <w:lang w:eastAsia="zh-CN"/>
        </w:rPr>
        <w:t>登录云南省地方财政预算标准化管理平台系统完成项目申报等相关工作。</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221" w:right="0" w:rightChars="0"/>
        <w:textAlignment w:val="auto"/>
        <w:outlineLvl w:val="9"/>
        <w:rPr>
          <w:rFonts w:hint="eastAsia" w:ascii="Times New Roman" w:hAnsi="Times New Roman" w:eastAsia="方正黑体_GBK" w:cs="方正黑体_GBK"/>
          <w:sz w:val="32"/>
          <w:szCs w:val="32"/>
          <w:highlight w:val="yellow"/>
        </w:rPr>
      </w:pP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278" w:leftChars="304" w:right="0" w:rightChars="0" w:hanging="640" w:hangingChars="20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附件：1</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梁河县2023年省级财政衔接推进乡村振兴</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277" w:leftChars="608" w:right="0" w:rightChars="0" w:firstLine="298" w:firstLineChars="100"/>
        <w:jc w:val="left"/>
        <w:textAlignment w:val="auto"/>
        <w:outlineLvl w:val="9"/>
        <w:rPr>
          <w:rFonts w:hint="default" w:ascii="Times New Roman" w:hAnsi="Times New Roman" w:eastAsia="方正仿宋_GBK" w:cs="Times New Roman"/>
          <w:spacing w:val="-11"/>
          <w:sz w:val="32"/>
          <w:szCs w:val="32"/>
        </w:rPr>
      </w:pPr>
      <w:r>
        <w:rPr>
          <w:rFonts w:hint="default" w:ascii="Times New Roman" w:hAnsi="Times New Roman" w:eastAsia="方正仿宋_GBK" w:cs="Times New Roman"/>
          <w:spacing w:val="-11"/>
          <w:sz w:val="32"/>
          <w:szCs w:val="32"/>
        </w:rPr>
        <w:t>补助资金</w:t>
      </w:r>
      <w:r>
        <w:rPr>
          <w:rFonts w:hint="default" w:ascii="Times New Roman" w:hAnsi="Times New Roman" w:eastAsia="方正仿宋_GBK" w:cs="Times New Roman"/>
          <w:spacing w:val="-11"/>
          <w:sz w:val="32"/>
          <w:szCs w:val="32"/>
          <w:lang w:eastAsia="zh-CN"/>
        </w:rPr>
        <w:t>正向激励调整资金</w:t>
      </w:r>
      <w:r>
        <w:rPr>
          <w:rFonts w:hint="default" w:ascii="Times New Roman" w:hAnsi="Times New Roman" w:eastAsia="方正仿宋_GBK" w:cs="Times New Roman"/>
          <w:spacing w:val="-11"/>
          <w:sz w:val="32"/>
          <w:szCs w:val="32"/>
        </w:rPr>
        <w:t>分配项目明细表</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left="1596" w:leftChars="760" w:right="0" w:rightChars="0" w:firstLine="0" w:firstLineChars="0"/>
        <w:jc w:val="left"/>
        <w:textAlignment w:val="auto"/>
        <w:outlineLvl w:val="9"/>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2</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2023年省级财政衔接推进乡村振兴补助资金</w:t>
      </w:r>
      <w:r>
        <w:rPr>
          <w:rFonts w:hint="default" w:ascii="Times New Roman" w:hAnsi="Times New Roman" w:eastAsia="方正仿宋_GBK" w:cs="Times New Roman"/>
          <w:sz w:val="32"/>
          <w:szCs w:val="32"/>
          <w:lang w:eastAsia="zh-CN"/>
        </w:rPr>
        <w:t>正向激励调整资金部门</w:t>
      </w:r>
      <w:r>
        <w:rPr>
          <w:rFonts w:hint="default" w:ascii="Times New Roman" w:hAnsi="Times New Roman" w:eastAsia="方正仿宋_GBK" w:cs="Times New Roman"/>
          <w:sz w:val="32"/>
          <w:szCs w:val="32"/>
        </w:rPr>
        <w:t>绩效目标表</w:t>
      </w: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方正仿宋_GBK"/>
          <w:bCs/>
          <w:w w:val="90"/>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Times New Roman" w:hAnsi="Times New Roman" w:eastAsia="方正仿宋_GBK"/>
          <w:bCs/>
          <w:w w:val="90"/>
          <w:sz w:val="32"/>
          <w:szCs w:val="32"/>
        </w:rPr>
      </w:pPr>
    </w:p>
    <w:p>
      <w:pPr>
        <w:keepNext w:val="0"/>
        <w:keepLines w:val="0"/>
        <w:pageBreakBefore w:val="0"/>
        <w:kinsoku/>
        <w:overflowPunct/>
        <w:topLinePunct w:val="0"/>
        <w:autoSpaceDE/>
        <w:autoSpaceDN/>
        <w:bidi w:val="0"/>
        <w:adjustRightInd w:val="0"/>
        <w:snapToGrid w:val="0"/>
        <w:spacing w:line="600" w:lineRule="exact"/>
        <w:ind w:firstLine="5120" w:firstLineChars="1600"/>
        <w:jc w:val="both"/>
        <w:textAlignment w:val="auto"/>
        <w:rPr>
          <w:rFonts w:hint="default" w:ascii="Times New Roman" w:hAnsi="Times New Roman" w:eastAsia="方正仿宋_GBK" w:cs="Times New Roman"/>
          <w:sz w:val="32"/>
          <w:szCs w:val="32"/>
          <w:lang w:val="en-US" w:eastAsia="zh-CN"/>
        </w:rPr>
      </w:pPr>
      <w:r>
        <w:rPr>
          <w:rFonts w:hint="default" w:ascii="Times New Roman" w:hAnsi="Times New Roman" w:eastAsia="方正仿宋_GBK" w:cs="Times New Roman"/>
          <w:sz w:val="32"/>
          <w:szCs w:val="32"/>
          <w:lang w:val="en-US" w:eastAsia="zh-CN"/>
        </w:rPr>
        <w:t>梁河县财政局</w:t>
      </w:r>
    </w:p>
    <w:p>
      <w:pPr>
        <w:keepNext w:val="0"/>
        <w:keepLines w:val="0"/>
        <w:pageBreakBefore w:val="0"/>
        <w:kinsoku/>
        <w:overflowPunct/>
        <w:topLinePunct w:val="0"/>
        <w:autoSpaceDE/>
        <w:autoSpaceDN/>
        <w:bidi w:val="0"/>
        <w:adjustRightInd w:val="0"/>
        <w:snapToGrid w:val="0"/>
        <w:spacing w:line="600" w:lineRule="exact"/>
        <w:jc w:val="center"/>
        <w:textAlignment w:val="auto"/>
        <w:rPr>
          <w:rFonts w:hint="default" w:ascii="Times New Roman" w:hAnsi="Times New Roman" w:eastAsia="方正仿宋_GBK" w:cs="Times New Roman"/>
          <w:sz w:val="32"/>
          <w:szCs w:val="32"/>
          <w:lang w:val="en-US" w:eastAsia="zh-CN"/>
        </w:rPr>
      </w:pP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sz w:val="32"/>
          <w:szCs w:val="32"/>
          <w:lang w:val="en-US" w:eastAsia="zh-CN"/>
        </w:rPr>
        <w:t>202</w:t>
      </w:r>
      <w:r>
        <w:rPr>
          <w:rFonts w:hint="eastAsia" w:ascii="Times New Roman" w:hAnsi="Times New Roman" w:eastAsia="方正仿宋_GBK" w:cs="Times New Roman"/>
          <w:sz w:val="32"/>
          <w:szCs w:val="32"/>
          <w:lang w:val="en-US" w:eastAsia="zh-CN"/>
        </w:rPr>
        <w:t>3</w:t>
      </w:r>
      <w:r>
        <w:rPr>
          <w:rFonts w:hint="default" w:ascii="Times New Roman" w:hAnsi="Times New Roman" w:eastAsia="方正仿宋_GBK" w:cs="Times New Roman"/>
          <w:sz w:val="32"/>
          <w:szCs w:val="32"/>
          <w:lang w:val="en-US" w:eastAsia="zh-CN"/>
        </w:rPr>
        <w:t>年</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月</w:t>
      </w:r>
      <w:r>
        <w:rPr>
          <w:rFonts w:hint="eastAsia" w:ascii="Times New Roman" w:hAnsi="Times New Roman" w:eastAsia="方正仿宋_GBK" w:cs="Times New Roman"/>
          <w:sz w:val="32"/>
          <w:szCs w:val="32"/>
          <w:lang w:val="en-US" w:eastAsia="zh-CN"/>
        </w:rPr>
        <w:t>10</w:t>
      </w:r>
      <w:r>
        <w:rPr>
          <w:rFonts w:hint="default" w:ascii="Times New Roman" w:hAnsi="Times New Roman" w:eastAsia="方正仿宋_GBK" w:cs="Times New Roman"/>
          <w:sz w:val="32"/>
          <w:szCs w:val="32"/>
          <w:lang w:val="en-US" w:eastAsia="zh-CN"/>
        </w:rPr>
        <w:t>日</w:t>
      </w: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adjustRightInd w:val="0"/>
        <w:snapToGrid w:val="0"/>
        <w:spacing w:line="600" w:lineRule="exact"/>
        <w:jc w:val="both"/>
        <w:textAlignment w:val="auto"/>
        <w:rPr>
          <w:rFonts w:hint="default" w:ascii="Times New Roman" w:hAnsi="Times New Roman" w:eastAsia="方正仿宋_GBK" w:cs="Times New Roman"/>
          <w:sz w:val="32"/>
          <w:szCs w:val="32"/>
          <w:lang w:val="en-US" w:eastAsia="zh-CN"/>
        </w:rPr>
      </w:pPr>
    </w:p>
    <w:p>
      <w:pPr>
        <w:keepNext w:val="0"/>
        <w:keepLines w:val="0"/>
        <w:pageBreakBefore w:val="0"/>
        <w:kinsoku/>
        <w:overflowPunct/>
        <w:topLinePunct w:val="0"/>
        <w:autoSpaceDE/>
        <w:autoSpaceDN/>
        <w:bidi w:val="0"/>
        <w:spacing w:line="600" w:lineRule="exact"/>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dit="readOnly"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ocumentID" w:val="{FA8796D7-8E9A-4594-A641-7FF65173E3D8}"/>
    <w:docVar w:name="DocumentName" w:val="在 14008 中的 WPS文档"/>
  </w:docVars>
  <w:rsids>
    <w:rsidRoot w:val="00000000"/>
    <w:rsid w:val="01C913EE"/>
    <w:rsid w:val="05EC12DB"/>
    <w:rsid w:val="069A1E13"/>
    <w:rsid w:val="0AB4314B"/>
    <w:rsid w:val="0B676EBC"/>
    <w:rsid w:val="0DC36DC5"/>
    <w:rsid w:val="0E705423"/>
    <w:rsid w:val="0EE05B71"/>
    <w:rsid w:val="13080B22"/>
    <w:rsid w:val="22FD234E"/>
    <w:rsid w:val="2735031A"/>
    <w:rsid w:val="276309C0"/>
    <w:rsid w:val="29A5671B"/>
    <w:rsid w:val="2C4E68C5"/>
    <w:rsid w:val="34964207"/>
    <w:rsid w:val="36B912DC"/>
    <w:rsid w:val="38FF11FB"/>
    <w:rsid w:val="3D0B5298"/>
    <w:rsid w:val="411F20B8"/>
    <w:rsid w:val="4B624C8E"/>
    <w:rsid w:val="4EED2047"/>
    <w:rsid w:val="553A4F50"/>
    <w:rsid w:val="55C02BBD"/>
    <w:rsid w:val="57AB46F4"/>
    <w:rsid w:val="5B6013D2"/>
    <w:rsid w:val="5D2D5121"/>
    <w:rsid w:val="617A1015"/>
    <w:rsid w:val="6BD9546D"/>
    <w:rsid w:val="6D7708BA"/>
    <w:rsid w:val="6E683433"/>
    <w:rsid w:val="6F462E43"/>
    <w:rsid w:val="6FC06B77"/>
    <w:rsid w:val="74CF4EC9"/>
    <w:rsid w:val="77E5622F"/>
    <w:rsid w:val="7F34127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qFormat/>
    <w:uiPriority w:val="0"/>
    <w:pPr>
      <w:pBdr>
        <w:bottom w:val="single" w:color="auto" w:sz="6" w:space="1"/>
      </w:pBdr>
      <w:tabs>
        <w:tab w:val="center" w:pos="4153"/>
        <w:tab w:val="right" w:pos="8306"/>
      </w:tabs>
      <w:snapToGrid w:val="0"/>
      <w:jc w:val="center"/>
    </w:pPr>
    <w:rPr>
      <w:rFonts w:ascii="Times New Roman" w:hAnsi="Times New Roman" w:cs="Times New Roman"/>
      <w:sz w:val="18"/>
      <w:szCs w:val="18"/>
    </w:rPr>
  </w:style>
  <w:style w:type="character" w:styleId="6">
    <w:name w:val="page number"/>
    <w:basedOn w:val="5"/>
    <w:qFormat/>
    <w:uiPriority w:val="0"/>
    <w:rPr>
      <w:rFonts w:ascii="Times New Roman" w:hAnsi="Times New Roman" w:eastAsia="宋体" w:cs="Times New Roman"/>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德宏州梁河县党政机关单位</Company>
  <Pages>1</Pages>
  <Words>0</Words>
  <Characters>0</Characters>
  <Lines>0</Lines>
  <Paragraphs>0</Paragraphs>
  <TotalTime>182</TotalTime>
  <ScaleCrop>false</ScaleCrop>
  <LinksUpToDate>false</LinksUpToDate>
  <CharactersWithSpaces>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2020-09-02T06:46:00Z</dcterms:created>
  <dc:creator>DELL</dc:creator>
  <cp:lastModifiedBy>梁河财政</cp:lastModifiedBy>
  <cp:lastPrinted>2023-10-10T07:51:00Z</cp:lastPrinted>
  <dcterms:modified xsi:type="dcterms:W3CDTF">2024-05-16T01:03:05Z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y fmtid="{D5CDD505-2E9C-101B-9397-08002B2CF9AE}" pid="3" name="ICV">
    <vt:lpwstr>E67FA90105574006A7BD7D398ECD35E5</vt:lpwstr>
  </property>
</Properties>
</file>