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450" w:line="240" w:lineRule="auto"/>
        <w:ind w:left="0" w:leftChars="0" w:firstLine="0" w:firstLineChars="0"/>
        <w:jc w:val="center"/>
        <w:outlineLvl w:val="2"/>
        <w:rPr>
          <w:rFonts w:hint="eastAsia" w:ascii="方正小标宋_GBK" w:hAnsi="方正小标宋_GBK" w:eastAsia="方正小标宋_GBK" w:cs="方正小标宋_GBK"/>
          <w:color w:val="auto"/>
          <w:kern w:val="0"/>
          <w:sz w:val="32"/>
          <w:szCs w:val="32"/>
        </w:rPr>
      </w:pPr>
      <w:r>
        <w:rPr>
          <w:rFonts w:hint="eastAsia" w:ascii="方正小标宋_GBK" w:hAnsi="方正小标宋_GBK" w:eastAsia="方正小标宋_GBK" w:cs="方正小标宋_GBK"/>
          <w:color w:val="auto"/>
          <w:kern w:val="0"/>
          <w:sz w:val="32"/>
          <w:szCs w:val="32"/>
        </w:rPr>
        <w:t>梁河县民族宗教事务局2017年度部门决算</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二、收入决算表</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三、支出决算表</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四、财政拨款收入支出决算总表</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五、一般公共预算财政拨款收入支出决算表</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六、一般公共预算财政拨款基本支出决算表</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七、政府性基金预算财政拨款收入支出决算表</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八、财政专户管理资金收入支出决算表</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九、“三公”经费、行政参公单位机关运行经费情况表</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第三部门  2017年度部门决算情况说明</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一、收入决算情况说明</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二、支出决算情况说明</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三、一般公共预算财政拨款支出决算情况说明</w:t>
      </w:r>
    </w:p>
    <w:p>
      <w:pPr>
        <w:widowControl/>
        <w:spacing w:line="600" w:lineRule="atLeast"/>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四、一般公共预算财政拨款“三公”经费支出决算情况说明</w:t>
      </w:r>
    </w:p>
    <w:p>
      <w:pPr>
        <w:widowControl/>
        <w:spacing w:line="600" w:lineRule="atLeast"/>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五、其他重要事项及相关口径情况说明</w:t>
      </w:r>
    </w:p>
    <w:p>
      <w:pPr>
        <w:widowControl/>
        <w:spacing w:line="600" w:lineRule="atLeast"/>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第四部分  名词解释</w:t>
      </w:r>
    </w:p>
    <w:p>
      <w:pPr>
        <w:widowControl/>
        <w:spacing w:line="240" w:lineRule="auto"/>
        <w:ind w:firstLine="480" w:firstLineChars="0"/>
        <w:jc w:val="center"/>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第一部分  基本概况</w:t>
      </w:r>
    </w:p>
    <w:p>
      <w:pPr>
        <w:widowControl/>
        <w:spacing w:line="600" w:lineRule="atLeast"/>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一、主要职能</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梁河县民族宗教事务局职能参照政府批准的“三定”方案；2017年重点工作任务是，在梁河县行政区内的民族宗教事务，认真贯彻中央、省委、州委、县委有上级主管部门关于民族宗教工作的方针政策和法律、法规，深入基层开展调查研究及时了解和反映情况，提出政策性意见和建议，落实和检查督促民宗政策的执行情况，协调全县民族宗教各方面的关系；负责宣传党和国家的民族宗教政策，开展县内外宗教情况调查，协同组织各民族的节日活动，指导和帮助各民族群众改革阻碍民族进步的陈规陋习，承办有关少数民族合法权益的事务，开展好少数民族语言工作，处理民族关系中的有关事宜。促进各少数民族经济、科技、文化、教育、卫生、体育等各项事业的发展，做好少数民族扶持工作，用好少数民族发展的各项扶持项目的补助专款，配合有关部门及时处理有关民族宗教方面的矛盾，依法对宗教团体和宗教活动场所进行管理；保护合法，制止不法分子利用宗教进行非法、违法活动；依法保护信教群众正常的宗教活动和合法权益。</w:t>
      </w:r>
    </w:p>
    <w:p>
      <w:pPr>
        <w:widowControl/>
        <w:spacing w:line="600" w:lineRule="atLeast"/>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（二）2017年度重点工作任务介绍</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2017年重点工作任务介绍,认真学习深刻领会，切实按照</w:t>
      </w:r>
      <w:r>
        <w:rPr>
          <w:rFonts w:hint="eastAsia" w:ascii="仿宋_GB2312" w:hAnsi="仿宋_GB2312" w:eastAsia="仿宋_GB2312" w:cs="仿宋_GB2312"/>
          <w:color w:val="333333"/>
          <w:kern w:val="0"/>
          <w:sz w:val="32"/>
          <w:szCs w:val="32"/>
          <w:lang w:eastAsia="zh-CN"/>
        </w:rPr>
        <w:t>习近平</w:t>
      </w:r>
      <w:r>
        <w:rPr>
          <w:rFonts w:hint="eastAsia" w:ascii="仿宋_GB2312" w:hAnsi="仿宋_GB2312" w:eastAsia="仿宋_GB2312" w:cs="仿宋_GB2312"/>
          <w:color w:val="333333"/>
          <w:kern w:val="0"/>
          <w:sz w:val="32"/>
          <w:szCs w:val="32"/>
        </w:rPr>
        <w:t>总书记重要讲话要求抓好贯彻落实。根据中央、省委、州委和县委“两学一做”学习教育常态化的工作部署，我局高度重视，科学谋划，精细组织，扎实推动“两学一做”学习教育常态化稳步开展。切实解决“四风”方面的突出问题、完善体制机制，逐步健全和完善党员干部贯彻为民务实清</w:t>
      </w:r>
      <w:r>
        <w:rPr>
          <w:rFonts w:hint="eastAsia" w:ascii="仿宋_GB2312" w:hAnsi="仿宋_GB2312" w:eastAsia="仿宋_GB2312" w:cs="仿宋_GB2312"/>
          <w:color w:val="333333"/>
          <w:kern w:val="0"/>
          <w:sz w:val="32"/>
          <w:szCs w:val="32"/>
          <w:lang w:val="en-US" w:eastAsia="zh-CN"/>
        </w:rPr>
        <w:t>正</w:t>
      </w:r>
      <w:r>
        <w:rPr>
          <w:rFonts w:hint="eastAsia" w:ascii="仿宋_GB2312" w:hAnsi="仿宋_GB2312" w:eastAsia="仿宋_GB2312" w:cs="仿宋_GB2312"/>
          <w:color w:val="333333"/>
          <w:kern w:val="0"/>
          <w:sz w:val="32"/>
          <w:szCs w:val="32"/>
        </w:rPr>
        <w:t>廉洁要求的长效机制；与各乡镇签订《2017年民族团结、宗教稳定目标管理责任书》。宗教场所签订了《和谐寺院（教堂）》目标责任书，为加强梁河反邪教工作，与县委签订了《梁河县“无邪教”创建责任书》，签订率达100%。实施好人口较少民族省、州民宗部门共下达梁河县各类民族发展项目资金1058万元。其中：中央财政第一批少数民族发展项目资金450万元、第二批少数民族发展项目资金300万元;省对下民族宗教专项发展资金270万元、2017年州级扶持梁河县人口较少民族发展项目38万元。项目通过规划、设计、评审、报备和招投标工作，项目实施、项目完成竣工后，组织相关部门验收项目工程，合格后按照财务制度办理相关手续，再拨付项目建设款工作和扣工程质量保证金。</w:t>
      </w:r>
    </w:p>
    <w:p>
      <w:pPr>
        <w:widowControl/>
        <w:spacing w:line="600" w:lineRule="atLeast"/>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二、部门基本情况</w:t>
      </w:r>
    </w:p>
    <w:p>
      <w:pPr>
        <w:widowControl/>
        <w:spacing w:line="600" w:lineRule="atLeast"/>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（一）部门决算单位构成</w:t>
      </w:r>
    </w:p>
    <w:p>
      <w:pPr>
        <w:widowControl/>
        <w:spacing w:line="600" w:lineRule="atLeast"/>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纳入梁河县民族宗教事务局2017年度部门决算编报的单位共1个。其中：行政单位1个，参照公务员法管理的事业单位0个，其他事业单位0个。分别是：</w:t>
      </w:r>
    </w:p>
    <w:p>
      <w:pPr>
        <w:widowControl/>
        <w:spacing w:line="600" w:lineRule="atLeast"/>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1.梁河县民族宗教事务局</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（二）部门人员和车辆的编制及实有情况</w:t>
      </w:r>
    </w:p>
    <w:p>
      <w:pPr>
        <w:widowControl/>
        <w:spacing w:line="600" w:lineRule="atLeast"/>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梁河县民族宗教事务局2017年末实有人员编制9人。其中：行政编制9人（含行政工勤编制2人），事业编制0人（含参公管理事业编制0人）；在职在编实有行政人员9人（含行政工勤人员2人），事业人员0人（含参公管理事业人员0人）。</w:t>
      </w:r>
    </w:p>
    <w:p>
      <w:pPr>
        <w:widowControl/>
        <w:spacing w:line="600" w:lineRule="atLeast"/>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离退休人员6人。其中：离休0人，退休6人。</w:t>
      </w:r>
    </w:p>
    <w:p>
      <w:pPr>
        <w:widowControl/>
        <w:spacing w:line="600" w:lineRule="atLeast"/>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实有车辆编制0辆，在编实有车辆0辆。</w:t>
      </w:r>
    </w:p>
    <w:p>
      <w:pPr>
        <w:widowControl/>
        <w:spacing w:line="240" w:lineRule="auto"/>
        <w:ind w:firstLine="480" w:firstLineChars="0"/>
        <w:jc w:val="center"/>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第二部分  2017年度部门决算表</w:t>
      </w:r>
    </w:p>
    <w:p>
      <w:pPr>
        <w:widowControl/>
        <w:spacing w:line="600" w:lineRule="atLeast"/>
        <w:ind w:firstLine="480" w:firstLineChars="0"/>
        <w:jc w:val="center"/>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（详见附件）</w:t>
      </w:r>
    </w:p>
    <w:p>
      <w:pPr>
        <w:widowControl/>
        <w:spacing w:line="240" w:lineRule="auto"/>
        <w:ind w:firstLine="480" w:firstLineChars="0"/>
        <w:jc w:val="center"/>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第三部门  2017年度部门决算情况说明</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一、收入决算情况说明</w:t>
      </w:r>
    </w:p>
    <w:p>
      <w:pPr>
        <w:widowControl/>
        <w:spacing w:line="600" w:lineRule="atLeast"/>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梁河县民族宗教事务局2017年度收入合计1026.67万元。其中：财政拨款收入1018.67万元，占总收入的99.22%；上级补助收入8万元，占总收入的0.88%；事业收入0万元，占总收入的0%；经营收入0万元，占总收入的0%；附属单位缴款收入0万元，占总收入的0%；其他收入0万元，占总收入的0%。与上年对比增加了510.98万元，主要原因分析在中央、省级的关心下增加了项目资金的拨入，同时原来项目工程款的</w:t>
      </w:r>
      <w:r>
        <w:rPr>
          <w:rFonts w:hint="eastAsia" w:ascii="仿宋_GB2312" w:hAnsi="仿宋_GB2312" w:eastAsia="仿宋_GB2312" w:cs="仿宋_GB2312"/>
          <w:color w:val="333333"/>
          <w:kern w:val="0"/>
          <w:sz w:val="32"/>
          <w:szCs w:val="32"/>
          <w:lang w:val="en-US" w:eastAsia="zh-CN"/>
        </w:rPr>
        <w:t>报账</w:t>
      </w:r>
      <w:r>
        <w:rPr>
          <w:rFonts w:hint="eastAsia" w:ascii="仿宋_GB2312" w:hAnsi="仿宋_GB2312" w:eastAsia="仿宋_GB2312" w:cs="仿宋_GB2312"/>
          <w:color w:val="333333"/>
          <w:kern w:val="0"/>
          <w:sz w:val="32"/>
          <w:szCs w:val="32"/>
        </w:rPr>
        <w:t>是在县财政局农财股，现转入民宗局财务室拨款支付。</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二、支出决算情况说明</w:t>
      </w:r>
    </w:p>
    <w:p>
      <w:pPr>
        <w:widowControl/>
        <w:spacing w:line="600" w:lineRule="atLeast"/>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梁河县民族宗教事务局2017年度支出合计1016.43万元。其中：基本支出122.63万元，占总支出的12.06％；项目支出893.80万元，占总支出的87.94％；上缴上级支出、经营支出、对附属单位补助支出共0万元，占总支出的0％。与上年对比增加了项目资金；主要原因分析增加了项目资金支出,。</w:t>
      </w:r>
    </w:p>
    <w:p>
      <w:pPr>
        <w:widowControl/>
        <w:spacing w:line="600" w:lineRule="atLeast"/>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（一）基本支出情况</w:t>
      </w:r>
    </w:p>
    <w:p>
      <w:pPr>
        <w:widowControl/>
        <w:spacing w:line="600" w:lineRule="atLeast"/>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2017年度用于保障梁河县民族宗教事务局机关、下属事业单位等机构正常运转的日常支出122.63万元。与上年对比减少了11.75万元,主要原因分析工资平稳，变动少。包括基本工资、津贴补贴等人员经费支出占基本支出的98.28％；办公费、印刷费、水电费、办公设备购置等日常公用经费占基本支出的1.72％。</w:t>
      </w:r>
    </w:p>
    <w:p>
      <w:pPr>
        <w:widowControl/>
        <w:spacing w:line="600" w:lineRule="atLeast"/>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（二）项目支出情况</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2017年度用于保障梁河县民族宗教事务局机构、下属事业单位等机构为完成特定的行政工作任务或事业发展目标，用于专项业务工作的经费支出893.80万元。与上年对比增加了项目支出512.49万元,主要原因分析是保障了民族地区经济发展，民族文化传承保护，农民增收致富，是中央、省级对少数民族地区关心支持，加上2017年度的项目资金支付工作由原来在财政局农财股支付，现调整到民宗局财务室支付项目工程款。具体项目开支及开展工作情况：民族工作专项支出113万元，宗教工作专项支出6.91万元，一般行政管理事务支出7.8万元(办公费0.82万元、印刷费0.57万元，邮电费0.24万元，水电费0.28万元、差旅费1万元，公务接待费0.44万元，培训费4.45万元)，其他民族事务支出102.34万元，其他一般公共服务支出2万元，扶贫农村基础设施建设和生产发展支出449.75万元、其他农林水的农业支出6万元，其他扶贫项目支出200万元，文化创作与保护6万元。。</w:t>
      </w:r>
    </w:p>
    <w:p>
      <w:pPr>
        <w:widowControl/>
        <w:spacing w:line="600" w:lineRule="atLeast"/>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三、一般公共预算财政拨款支出决算情况说明</w:t>
      </w:r>
    </w:p>
    <w:p>
      <w:pPr>
        <w:widowControl/>
        <w:spacing w:line="600" w:lineRule="atLeast"/>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（一）一般公共预算财政拨款支出决算总体情况</w:t>
      </w:r>
    </w:p>
    <w:p>
      <w:pPr>
        <w:widowControl/>
        <w:spacing w:line="600" w:lineRule="atLeast"/>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梁河县民族宗教事务局2017年度一般公共预算财政拨款支出1016.43万元,占本年支出合计的100%。与上年对比500.74万元,主要原因分析民族地区发展需求量增加。</w:t>
      </w:r>
    </w:p>
    <w:p>
      <w:pPr>
        <w:widowControl/>
        <w:spacing w:line="600" w:lineRule="atLeast"/>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（二）一般公共预算财政拨款支出决算具体情况</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1.一般公共服务（类）支出333.37万元，占一般公共预算财政拨款总支出的32.79%。主要用于人员经费支出95.91万元，日常公用经费支出5.45万元，其他政协、财政事务管理支出5万元，民族工作专项108万元，其他民族事务支出102.30万元，宗教工作专项支出6.91万元，一般行政管理事务支出7.8万元，其他一般公共服务支出2万元。</w:t>
      </w:r>
    </w:p>
    <w:p>
      <w:pPr>
        <w:widowControl/>
        <w:spacing w:line="600" w:lineRule="atLeast"/>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2.外交（类）支出0万元，占一般公共预算财政拨款总支出的0%。无；</w:t>
      </w:r>
    </w:p>
    <w:p>
      <w:pPr>
        <w:widowControl/>
        <w:spacing w:line="600" w:lineRule="atLeast"/>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3.国防（类）支出0万元，占一般公共预算财政拨款总支出的0%。无</w:t>
      </w:r>
    </w:p>
    <w:p>
      <w:pPr>
        <w:widowControl/>
        <w:spacing w:line="600" w:lineRule="atLeast"/>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4.公共安全（类）支出0万元，占一般公共预算财政拨款总支出的0%。无</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5．对个人和家庭的补助支出21.31万元，其中：退休费13.14万元，住房保障支出8.17万元。扶贫农村基础设施建设和生产发展支出449.75万元、其他农林水的农业支出6万元。其他扶贫项目支出200万元，文化创作与保护6万元。</w:t>
      </w:r>
    </w:p>
    <w:p>
      <w:pPr>
        <w:widowControl/>
        <w:spacing w:line="600" w:lineRule="atLeast"/>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四、一般公共预算财政拨款“三公”经费支出决算情况说明</w:t>
      </w:r>
    </w:p>
    <w:p>
      <w:pPr>
        <w:widowControl/>
        <w:spacing w:line="600" w:lineRule="atLeast"/>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(一) 一般公共预算财政拨款“三公”经费支出决算总体情况</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梁河县民族宗教事务局2017年度一般公共预算财政拨款“三公”经费支出预算为0.56万元，支出决算为0.44万元，完成预算的78.57%。其中：因公出国（境）费支出决算为0万元，完成预算的0%；公务用车购置及运行费支出决算为0万元，完成预算的0%；公务接待费支出决算为0.44万元，完成预算的78.57%。2017年度一般公共预算财政拨款“三公”经费支出决算数小于预算数的主要原因是减少了</w:t>
      </w:r>
      <w:bookmarkStart w:id="0" w:name="_GoBack"/>
      <w:bookmarkEnd w:id="0"/>
      <w:r>
        <w:rPr>
          <w:rFonts w:hint="eastAsia" w:ascii="仿宋_GB2312" w:hAnsi="仿宋_GB2312" w:eastAsia="仿宋_GB2312" w:cs="仿宋_GB2312"/>
          <w:color w:val="333333"/>
          <w:kern w:val="0"/>
          <w:sz w:val="32"/>
          <w:szCs w:val="32"/>
          <w:lang w:eastAsia="zh-CN"/>
        </w:rPr>
        <w:t>陪同</w:t>
      </w:r>
      <w:r>
        <w:rPr>
          <w:rFonts w:hint="eastAsia" w:ascii="仿宋_GB2312" w:hAnsi="仿宋_GB2312" w:eastAsia="仿宋_GB2312" w:cs="仿宋_GB2312"/>
          <w:color w:val="333333"/>
          <w:kern w:val="0"/>
          <w:sz w:val="32"/>
          <w:szCs w:val="32"/>
        </w:rPr>
        <w:t>人员和在点菜的数量上减少，注意节约开支，能不接待就不接待。</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2017年度一般公共预算财政拨款“三公”经费支出决算数比2016年减少0.01万元，下降2.2%。其中：因公出国（境）费支出决算增加/减少0万元，增长/下降0%；公务用车购置及运行费支出决算增加/减少0万元，增长/下降0%；公务接待费支出决算减少0.01万元，下降2.2%。2017年度一般公共预算财政拨款“三公”经费支出决算减少的主要原因是减少了</w:t>
      </w:r>
      <w:r>
        <w:rPr>
          <w:rFonts w:hint="eastAsia" w:ascii="仿宋_GB2312" w:hAnsi="仿宋_GB2312" w:eastAsia="仿宋_GB2312" w:cs="仿宋_GB2312"/>
          <w:color w:val="333333"/>
          <w:kern w:val="0"/>
          <w:sz w:val="32"/>
          <w:szCs w:val="32"/>
          <w:lang w:eastAsia="zh-CN"/>
        </w:rPr>
        <w:t>陪同</w:t>
      </w:r>
      <w:r>
        <w:rPr>
          <w:rFonts w:hint="eastAsia" w:ascii="仿宋_GB2312" w:hAnsi="仿宋_GB2312" w:eastAsia="仿宋_GB2312" w:cs="仿宋_GB2312"/>
          <w:color w:val="333333"/>
          <w:kern w:val="0"/>
          <w:sz w:val="32"/>
          <w:szCs w:val="32"/>
        </w:rPr>
        <w:t>人员和在点菜的数量上减少，注意节约开支，能不接待就不接待。</w:t>
      </w:r>
    </w:p>
    <w:p>
      <w:pPr>
        <w:widowControl/>
        <w:spacing w:line="600" w:lineRule="atLeast"/>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(二) 一般公共预算财政拨款“三公”经费支出决算具体情况</w:t>
      </w:r>
    </w:p>
    <w:p>
      <w:pPr>
        <w:widowControl/>
        <w:spacing w:line="600" w:lineRule="atLeast"/>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2017年度一般公共预算财政拨款“三公”经费支出决算中，因公出国（境）费支出0万元，占0%；公务用车购置及运行维护费支出0万元，占0%；公务接待费支出0.44万元，占78.57%。具体情况如下：</w:t>
      </w:r>
    </w:p>
    <w:p>
      <w:pPr>
        <w:widowControl/>
        <w:spacing w:line="600" w:lineRule="atLeast"/>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b/>
          <w:bCs/>
          <w:color w:val="333333"/>
          <w:kern w:val="0"/>
          <w:sz w:val="32"/>
          <w:szCs w:val="32"/>
        </w:rPr>
        <w:t>1.因公出国（境）费</w:t>
      </w:r>
      <w:r>
        <w:rPr>
          <w:rFonts w:hint="eastAsia" w:ascii="仿宋_GB2312" w:hAnsi="仿宋_GB2312" w:eastAsia="仿宋_GB2312" w:cs="仿宋_GB2312"/>
          <w:color w:val="333333"/>
          <w:kern w:val="0"/>
          <w:sz w:val="32"/>
          <w:szCs w:val="32"/>
        </w:rPr>
        <w:t>支出0万元，共安排因公出国（境）团组0个，累计0人次。开展内容包括：无。</w:t>
      </w:r>
    </w:p>
    <w:p>
      <w:pPr>
        <w:widowControl/>
        <w:spacing w:line="600" w:lineRule="atLeast"/>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b/>
          <w:bCs/>
          <w:color w:val="333333"/>
          <w:kern w:val="0"/>
          <w:sz w:val="32"/>
          <w:szCs w:val="32"/>
        </w:rPr>
        <w:t>2. 公务用车购置及运行维护费</w:t>
      </w:r>
      <w:r>
        <w:rPr>
          <w:rFonts w:hint="eastAsia" w:ascii="仿宋_GB2312" w:hAnsi="仿宋_GB2312" w:eastAsia="仿宋_GB2312" w:cs="仿宋_GB2312"/>
          <w:color w:val="333333"/>
          <w:kern w:val="0"/>
          <w:sz w:val="32"/>
          <w:szCs w:val="32"/>
        </w:rPr>
        <w:t>支出0万元。其中：</w:t>
      </w:r>
    </w:p>
    <w:p>
      <w:pPr>
        <w:widowControl/>
        <w:spacing w:line="600" w:lineRule="atLeast"/>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b/>
          <w:bCs/>
          <w:color w:val="333333"/>
          <w:kern w:val="0"/>
          <w:sz w:val="32"/>
          <w:szCs w:val="32"/>
        </w:rPr>
        <w:t>公务用车购置</w:t>
      </w:r>
      <w:r>
        <w:rPr>
          <w:rFonts w:hint="eastAsia" w:ascii="仿宋_GB2312" w:hAnsi="仿宋_GB2312" w:eastAsia="仿宋_GB2312" w:cs="仿宋_GB2312"/>
          <w:color w:val="333333"/>
          <w:kern w:val="0"/>
          <w:sz w:val="32"/>
          <w:szCs w:val="32"/>
        </w:rPr>
        <w:t>支出0万元，购置车辆0辆。具体购置车辆原因、情况：无。</w:t>
      </w:r>
    </w:p>
    <w:p>
      <w:pPr>
        <w:widowControl/>
        <w:spacing w:line="600" w:lineRule="atLeast"/>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b/>
          <w:bCs/>
          <w:color w:val="333333"/>
          <w:kern w:val="0"/>
          <w:sz w:val="32"/>
          <w:szCs w:val="32"/>
        </w:rPr>
        <w:t>公务用车运行维护</w:t>
      </w:r>
      <w:r>
        <w:rPr>
          <w:rFonts w:hint="eastAsia" w:ascii="仿宋_GB2312" w:hAnsi="仿宋_GB2312" w:eastAsia="仿宋_GB2312" w:cs="仿宋_GB2312"/>
          <w:color w:val="333333"/>
          <w:kern w:val="0"/>
          <w:sz w:val="32"/>
          <w:szCs w:val="32"/>
        </w:rPr>
        <w:t>支出0万元，开支一般公共预算财政拨款的公务用车保有量为0辆。主要用于0（相关工作范围）所需车辆燃料费、维修费、过路过桥费、保险费等。</w:t>
      </w:r>
    </w:p>
    <w:p>
      <w:pPr>
        <w:widowControl/>
        <w:spacing w:line="600" w:lineRule="atLeast"/>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b/>
          <w:bCs/>
          <w:color w:val="333333"/>
          <w:kern w:val="0"/>
          <w:sz w:val="32"/>
          <w:szCs w:val="32"/>
        </w:rPr>
        <w:t>3.公务接待费</w:t>
      </w:r>
      <w:r>
        <w:rPr>
          <w:rFonts w:hint="eastAsia" w:ascii="仿宋_GB2312" w:hAnsi="仿宋_GB2312" w:eastAsia="仿宋_GB2312" w:cs="仿宋_GB2312"/>
          <w:color w:val="333333"/>
          <w:kern w:val="0"/>
          <w:sz w:val="32"/>
          <w:szCs w:val="32"/>
        </w:rPr>
        <w:t>支出0.44万元。其中：</w:t>
      </w:r>
    </w:p>
    <w:p>
      <w:pPr>
        <w:widowControl/>
        <w:spacing w:line="600" w:lineRule="atLeast"/>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b/>
          <w:bCs/>
          <w:color w:val="333333"/>
          <w:kern w:val="0"/>
          <w:sz w:val="32"/>
          <w:szCs w:val="32"/>
        </w:rPr>
        <w:t>国内接待费</w:t>
      </w:r>
      <w:r>
        <w:rPr>
          <w:rFonts w:hint="eastAsia" w:ascii="仿宋_GB2312" w:hAnsi="仿宋_GB2312" w:eastAsia="仿宋_GB2312" w:cs="仿宋_GB2312"/>
          <w:color w:val="333333"/>
          <w:kern w:val="0"/>
          <w:sz w:val="32"/>
          <w:szCs w:val="32"/>
        </w:rPr>
        <w:t>支出0.44万元（其中：外事接待费支出0万元），共安排国内公务接待12批次（其中：外事接待0批次），接待人次92人（其中：外事接待人次0人）。主要用于相关工作，产生的接待批次及人次等发生的接待支出。</w:t>
      </w:r>
    </w:p>
    <w:p>
      <w:pPr>
        <w:widowControl/>
        <w:spacing w:line="600" w:lineRule="atLeast"/>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b/>
          <w:bCs/>
          <w:color w:val="333333"/>
          <w:kern w:val="0"/>
          <w:sz w:val="32"/>
          <w:szCs w:val="32"/>
        </w:rPr>
        <w:t>国（境）外接待费</w:t>
      </w:r>
      <w:r>
        <w:rPr>
          <w:rFonts w:hint="eastAsia" w:ascii="仿宋_GB2312" w:hAnsi="仿宋_GB2312" w:eastAsia="仿宋_GB2312" w:cs="仿宋_GB2312"/>
          <w:color w:val="333333"/>
          <w:kern w:val="0"/>
          <w:sz w:val="32"/>
          <w:szCs w:val="32"/>
        </w:rPr>
        <w:t>支出0万元，共安排国（境）外公务接待0批次，接待人次0人。主要用于0（相关工作，产生的接待批次及人次等）发生的接待支出。</w:t>
      </w:r>
    </w:p>
    <w:p>
      <w:pPr>
        <w:widowControl/>
        <w:spacing w:line="600" w:lineRule="atLeast"/>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五、其他重要事项及相关口径情况说明</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(一)机关运行经费支出情况</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梁河县民族宗教事务局2017年机关运行经费支出122.63万元，与上年对比减少了11.75万元,主要原因分析工资收入平稳、变动少。部门机关运行经费主要用于：一是人员经费支出120.53万元，包括基本工资，津贴补贴等人员经费支出占基本支出的98.28%；二是公用经费支出2.1万元，其中：印刷费0.28万元,差旅费0.30万元，公务、工会费1.52万元等日常公用经费占基本支出的1.72％。。</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（二）国有资产占用情况</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截至2017年12月31日，梁河县民族宗教事务局资产总额10.31万元，其中，流动资产0万元，固定资产10.31万元，对外投资及有价证券0万元，在建工程0万元，无形资产0万元，其他资产0万元（具体内容详见附表）。与上年相比，本年资产总额减少10.5万元，其中固定资产减少10.5万元。处置房屋建筑物0平方米，账面原值0万元；处置车辆1辆，账面原值10.5万元；报废报损资产0项，账面原值0万元，实现资产处置收入0万元；出租房屋0平方米，账面原值0万元，实现资产使用收入0万元。</w:t>
      </w:r>
    </w:p>
    <w:tbl>
      <w:tblPr>
        <w:tblStyle w:val="6"/>
        <w:tblW w:w="12803" w:type="dxa"/>
        <w:tblInd w:w="135" w:type="dxa"/>
        <w:tblLayout w:type="fixed"/>
        <w:tblCellMar>
          <w:top w:w="15" w:type="dxa"/>
          <w:left w:w="15" w:type="dxa"/>
          <w:bottom w:w="15" w:type="dxa"/>
          <w:right w:w="15" w:type="dxa"/>
        </w:tblCellMar>
      </w:tblPr>
      <w:tblGrid>
        <w:gridCol w:w="830"/>
        <w:gridCol w:w="830"/>
        <w:gridCol w:w="1399"/>
        <w:gridCol w:w="830"/>
        <w:gridCol w:w="1399"/>
        <w:gridCol w:w="830"/>
        <w:gridCol w:w="830"/>
        <w:gridCol w:w="599"/>
        <w:gridCol w:w="277"/>
        <w:gridCol w:w="625"/>
        <w:gridCol w:w="774"/>
        <w:gridCol w:w="830"/>
        <w:gridCol w:w="830"/>
        <w:gridCol w:w="599"/>
        <w:gridCol w:w="426"/>
        <w:gridCol w:w="173"/>
        <w:gridCol w:w="569"/>
        <w:gridCol w:w="153"/>
      </w:tblGrid>
      <w:tr>
        <w:tblPrEx>
          <w:tblLayout w:type="fixed"/>
          <w:tblCellMar>
            <w:top w:w="15" w:type="dxa"/>
            <w:left w:w="15" w:type="dxa"/>
            <w:bottom w:w="15" w:type="dxa"/>
            <w:right w:w="15" w:type="dxa"/>
          </w:tblCellMar>
        </w:tblPrEx>
        <w:trPr>
          <w:trHeight w:val="495" w:hRule="atLeast"/>
        </w:trPr>
        <w:tc>
          <w:tcPr>
            <w:tcW w:w="12803" w:type="dxa"/>
            <w:gridSpan w:val="18"/>
            <w:tcBorders>
              <w:top w:val="nil"/>
              <w:left w:val="nil"/>
              <w:bottom w:val="nil"/>
              <w:right w:val="nil"/>
            </w:tcBorders>
            <w:shd w:val="clear" w:color="auto" w:fill="FFFFFF"/>
            <w:vAlign w:val="center"/>
          </w:tcPr>
          <w:p>
            <w:pPr>
              <w:widowControl/>
              <w:spacing w:line="240" w:lineRule="auto"/>
              <w:ind w:firstLine="480" w:firstLineChars="0"/>
              <w:jc w:val="center"/>
              <w:textAlignment w:val="center"/>
              <w:rPr>
                <w:rFonts w:hint="eastAsia" w:ascii="仿宋_GB2312" w:hAnsi="仿宋_GB2312" w:eastAsia="仿宋_GB2312" w:cs="仿宋_GB2312"/>
                <w:kern w:val="0"/>
                <w:sz w:val="32"/>
                <w:szCs w:val="32"/>
              </w:rPr>
            </w:pPr>
            <w:r>
              <w:rPr>
                <w:rFonts w:hint="eastAsia" w:ascii="仿宋_GB2312" w:hAnsi="仿宋_GB2312" w:eastAsia="仿宋_GB2312" w:cs="仿宋_GB2312"/>
                <w:b/>
                <w:bCs/>
                <w:color w:val="000000"/>
                <w:kern w:val="0"/>
                <w:sz w:val="32"/>
                <w:szCs w:val="32"/>
              </w:rPr>
              <w:t>国有资产占有使用情况表</w:t>
            </w:r>
          </w:p>
        </w:tc>
      </w:tr>
      <w:tr>
        <w:tblPrEx>
          <w:tblLayout w:type="fixed"/>
          <w:tblCellMar>
            <w:top w:w="15" w:type="dxa"/>
            <w:left w:w="15" w:type="dxa"/>
            <w:bottom w:w="15" w:type="dxa"/>
            <w:right w:w="15" w:type="dxa"/>
          </w:tblCellMar>
        </w:tblPrEx>
        <w:trPr>
          <w:trHeight w:val="347" w:hRule="atLeast"/>
        </w:trPr>
        <w:tc>
          <w:tcPr>
            <w:tcW w:w="6948" w:type="dxa"/>
            <w:gridSpan w:val="7"/>
            <w:tcBorders>
              <w:top w:val="nil"/>
              <w:left w:val="nil"/>
              <w:bottom w:val="single" w:color="808080" w:sz="8" w:space="0"/>
              <w:right w:val="nil"/>
            </w:tcBorders>
            <w:shd w:val="clear" w:color="auto" w:fill="FFFFFF"/>
            <w:vAlign w:val="center"/>
          </w:tcPr>
          <w:p>
            <w:pPr>
              <w:widowControl/>
              <w:spacing w:line="240" w:lineRule="auto"/>
              <w:ind w:firstLine="480" w:firstLineChars="0"/>
              <w:jc w:val="left"/>
              <w:textAlignment w:val="center"/>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 </w:t>
            </w:r>
          </w:p>
        </w:tc>
        <w:tc>
          <w:tcPr>
            <w:tcW w:w="599" w:type="dxa"/>
            <w:tcBorders>
              <w:top w:val="nil"/>
              <w:left w:val="nil"/>
              <w:bottom w:val="single" w:color="808080" w:sz="8" w:space="0"/>
              <w:right w:val="nil"/>
            </w:tcBorders>
            <w:shd w:val="clear" w:color="auto" w:fill="FFFFFF"/>
            <w:vAlign w:val="center"/>
          </w:tcPr>
          <w:p>
            <w:pPr>
              <w:widowControl/>
              <w:spacing w:line="240" w:lineRule="auto"/>
              <w:ind w:firstLine="480" w:firstLineChars="0"/>
              <w:jc w:val="left"/>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 </w:t>
            </w:r>
          </w:p>
        </w:tc>
        <w:tc>
          <w:tcPr>
            <w:tcW w:w="902" w:type="dxa"/>
            <w:gridSpan w:val="2"/>
            <w:tcBorders>
              <w:top w:val="nil"/>
              <w:left w:val="nil"/>
              <w:bottom w:val="single" w:color="808080" w:sz="8" w:space="0"/>
              <w:right w:val="nil"/>
            </w:tcBorders>
            <w:shd w:val="clear" w:color="auto" w:fill="FFFFFF"/>
            <w:vAlign w:val="center"/>
          </w:tcPr>
          <w:p>
            <w:pPr>
              <w:widowControl/>
              <w:spacing w:line="240" w:lineRule="auto"/>
              <w:ind w:firstLine="480" w:firstLineChars="0"/>
              <w:jc w:val="left"/>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 </w:t>
            </w:r>
          </w:p>
        </w:tc>
        <w:tc>
          <w:tcPr>
            <w:tcW w:w="774" w:type="dxa"/>
            <w:tcBorders>
              <w:top w:val="nil"/>
              <w:left w:val="nil"/>
              <w:bottom w:val="single" w:color="808080" w:sz="8" w:space="0"/>
              <w:right w:val="nil"/>
            </w:tcBorders>
            <w:shd w:val="clear" w:color="auto" w:fill="FFFFFF"/>
            <w:vAlign w:val="center"/>
          </w:tcPr>
          <w:p>
            <w:pPr>
              <w:widowControl/>
              <w:spacing w:line="240" w:lineRule="auto"/>
              <w:ind w:firstLine="480" w:firstLineChars="0"/>
              <w:jc w:val="left"/>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 </w:t>
            </w:r>
          </w:p>
        </w:tc>
        <w:tc>
          <w:tcPr>
            <w:tcW w:w="830" w:type="dxa"/>
            <w:tcBorders>
              <w:top w:val="nil"/>
              <w:left w:val="nil"/>
              <w:bottom w:val="single" w:color="808080" w:sz="8" w:space="0"/>
              <w:right w:val="nil"/>
            </w:tcBorders>
            <w:shd w:val="clear" w:color="auto" w:fill="FFFFFF"/>
            <w:vAlign w:val="center"/>
          </w:tcPr>
          <w:p>
            <w:pPr>
              <w:widowControl/>
              <w:spacing w:line="240" w:lineRule="auto"/>
              <w:ind w:firstLine="480" w:firstLineChars="0"/>
              <w:jc w:val="left"/>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 </w:t>
            </w:r>
          </w:p>
        </w:tc>
        <w:tc>
          <w:tcPr>
            <w:tcW w:w="830" w:type="dxa"/>
            <w:tcBorders>
              <w:top w:val="nil"/>
              <w:left w:val="nil"/>
              <w:bottom w:val="single" w:color="808080" w:sz="8" w:space="0"/>
              <w:right w:val="nil"/>
            </w:tcBorders>
            <w:shd w:val="clear" w:color="auto" w:fill="FFFFFF"/>
            <w:vAlign w:val="center"/>
          </w:tcPr>
          <w:p>
            <w:pPr>
              <w:widowControl/>
              <w:spacing w:line="240" w:lineRule="auto"/>
              <w:ind w:firstLine="480" w:firstLineChars="0"/>
              <w:jc w:val="left"/>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 </w:t>
            </w:r>
          </w:p>
        </w:tc>
        <w:tc>
          <w:tcPr>
            <w:tcW w:w="1920" w:type="dxa"/>
            <w:gridSpan w:val="5"/>
            <w:tcBorders>
              <w:top w:val="nil"/>
              <w:left w:val="nil"/>
              <w:bottom w:val="single" w:color="808080" w:sz="8" w:space="0"/>
              <w:right w:val="nil"/>
            </w:tcBorders>
            <w:shd w:val="clear" w:color="auto" w:fill="FFFFFF"/>
            <w:vAlign w:val="center"/>
          </w:tcPr>
          <w:p>
            <w:pPr>
              <w:widowControl/>
              <w:spacing w:line="240" w:lineRule="auto"/>
              <w:ind w:firstLine="480" w:firstLineChars="0"/>
              <w:jc w:val="right"/>
              <w:textAlignment w:val="center"/>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单位：万元</w:t>
            </w:r>
          </w:p>
        </w:tc>
      </w:tr>
      <w:tr>
        <w:tblPrEx>
          <w:tblLayout w:type="fixed"/>
          <w:tblCellMar>
            <w:top w:w="15" w:type="dxa"/>
            <w:left w:w="15" w:type="dxa"/>
            <w:bottom w:w="15" w:type="dxa"/>
            <w:right w:w="15" w:type="dxa"/>
          </w:tblCellMar>
        </w:tblPrEx>
        <w:trPr>
          <w:trHeight w:val="415" w:hRule="atLeast"/>
        </w:trPr>
        <w:tc>
          <w:tcPr>
            <w:tcW w:w="830"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ind w:firstLine="480" w:firstLineChars="0"/>
              <w:jc w:val="center"/>
              <w:textAlignment w:val="center"/>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项目</w:t>
            </w:r>
          </w:p>
        </w:tc>
        <w:tc>
          <w:tcPr>
            <w:tcW w:w="830" w:type="dxa"/>
            <w:vMerge w:val="restart"/>
            <w:tcBorders>
              <w:top w:val="nil"/>
              <w:left w:val="nil"/>
              <w:bottom w:val="single" w:color="000000" w:sz="8" w:space="0"/>
              <w:right w:val="single" w:color="000000" w:sz="8" w:space="0"/>
            </w:tcBorders>
            <w:shd w:val="clear" w:color="auto" w:fill="auto"/>
            <w:vAlign w:val="center"/>
          </w:tcPr>
          <w:p>
            <w:pPr>
              <w:widowControl/>
              <w:spacing w:line="240" w:lineRule="auto"/>
              <w:ind w:firstLine="480" w:firstLineChars="0"/>
              <w:jc w:val="center"/>
              <w:textAlignment w:val="center"/>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行次</w:t>
            </w:r>
          </w:p>
        </w:tc>
        <w:tc>
          <w:tcPr>
            <w:tcW w:w="1399" w:type="dxa"/>
            <w:vMerge w:val="restart"/>
            <w:tcBorders>
              <w:top w:val="nil"/>
              <w:left w:val="nil"/>
              <w:bottom w:val="single" w:color="000000" w:sz="8" w:space="0"/>
              <w:right w:val="single" w:color="000000" w:sz="8" w:space="0"/>
            </w:tcBorders>
            <w:shd w:val="clear" w:color="auto" w:fill="auto"/>
            <w:vAlign w:val="center"/>
          </w:tcPr>
          <w:p>
            <w:pPr>
              <w:widowControl/>
              <w:spacing w:line="240" w:lineRule="auto"/>
              <w:ind w:firstLine="480" w:firstLineChars="0"/>
              <w:jc w:val="center"/>
              <w:textAlignment w:val="center"/>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资产总额</w:t>
            </w:r>
          </w:p>
        </w:tc>
        <w:tc>
          <w:tcPr>
            <w:tcW w:w="830" w:type="dxa"/>
            <w:vMerge w:val="restart"/>
            <w:tcBorders>
              <w:top w:val="nil"/>
              <w:left w:val="nil"/>
              <w:bottom w:val="single" w:color="000000" w:sz="8" w:space="0"/>
              <w:right w:val="single" w:color="000000" w:sz="8" w:space="0"/>
            </w:tcBorders>
            <w:shd w:val="clear" w:color="auto" w:fill="auto"/>
            <w:vAlign w:val="center"/>
          </w:tcPr>
          <w:p>
            <w:pPr>
              <w:widowControl/>
              <w:spacing w:line="240" w:lineRule="auto"/>
              <w:ind w:firstLine="480" w:firstLineChars="0"/>
              <w:jc w:val="center"/>
              <w:textAlignment w:val="center"/>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流动资产</w:t>
            </w:r>
          </w:p>
        </w:tc>
        <w:tc>
          <w:tcPr>
            <w:tcW w:w="5334" w:type="dxa"/>
            <w:gridSpan w:val="7"/>
            <w:tcBorders>
              <w:top w:val="nil"/>
              <w:left w:val="nil"/>
              <w:bottom w:val="single" w:color="000000" w:sz="8" w:space="0"/>
              <w:right w:val="single" w:color="000000" w:sz="8" w:space="0"/>
            </w:tcBorders>
            <w:shd w:val="clear" w:color="auto" w:fill="auto"/>
            <w:vAlign w:val="center"/>
          </w:tcPr>
          <w:p>
            <w:pPr>
              <w:widowControl/>
              <w:spacing w:line="240" w:lineRule="auto"/>
              <w:ind w:firstLine="480" w:firstLineChars="0"/>
              <w:jc w:val="center"/>
              <w:textAlignment w:val="center"/>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固定资产</w:t>
            </w:r>
          </w:p>
        </w:tc>
        <w:tc>
          <w:tcPr>
            <w:tcW w:w="830" w:type="dxa"/>
            <w:vMerge w:val="restart"/>
            <w:tcBorders>
              <w:top w:val="nil"/>
              <w:left w:val="nil"/>
              <w:bottom w:val="single" w:color="000000" w:sz="8" w:space="0"/>
              <w:right w:val="single" w:color="000000" w:sz="8" w:space="0"/>
            </w:tcBorders>
            <w:shd w:val="clear" w:color="auto" w:fill="auto"/>
            <w:vAlign w:val="center"/>
          </w:tcPr>
          <w:p>
            <w:pPr>
              <w:widowControl/>
              <w:spacing w:line="240" w:lineRule="auto"/>
              <w:ind w:firstLine="480" w:firstLineChars="0"/>
              <w:jc w:val="center"/>
              <w:textAlignment w:val="center"/>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对外投资/有价证券</w:t>
            </w:r>
          </w:p>
        </w:tc>
        <w:tc>
          <w:tcPr>
            <w:tcW w:w="830" w:type="dxa"/>
            <w:vMerge w:val="restart"/>
            <w:tcBorders>
              <w:top w:val="nil"/>
              <w:left w:val="nil"/>
              <w:bottom w:val="single" w:color="000000" w:sz="8" w:space="0"/>
              <w:right w:val="single" w:color="000000" w:sz="8" w:space="0"/>
            </w:tcBorders>
            <w:shd w:val="clear" w:color="auto" w:fill="auto"/>
            <w:vAlign w:val="center"/>
          </w:tcPr>
          <w:p>
            <w:pPr>
              <w:widowControl/>
              <w:spacing w:line="240" w:lineRule="auto"/>
              <w:ind w:firstLine="480" w:firstLineChars="0"/>
              <w:jc w:val="center"/>
              <w:textAlignment w:val="center"/>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在建工程</w:t>
            </w:r>
          </w:p>
        </w:tc>
        <w:tc>
          <w:tcPr>
            <w:tcW w:w="1025" w:type="dxa"/>
            <w:gridSpan w:val="2"/>
            <w:vMerge w:val="restart"/>
            <w:tcBorders>
              <w:top w:val="nil"/>
              <w:left w:val="nil"/>
              <w:bottom w:val="single" w:color="000000" w:sz="8" w:space="0"/>
              <w:right w:val="single" w:color="000000" w:sz="8" w:space="0"/>
            </w:tcBorders>
            <w:shd w:val="clear" w:color="auto" w:fill="auto"/>
            <w:vAlign w:val="center"/>
          </w:tcPr>
          <w:p>
            <w:pPr>
              <w:widowControl/>
              <w:spacing w:line="240" w:lineRule="auto"/>
              <w:ind w:firstLine="480" w:firstLineChars="0"/>
              <w:jc w:val="center"/>
              <w:textAlignment w:val="center"/>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无形资产</w:t>
            </w:r>
          </w:p>
        </w:tc>
        <w:tc>
          <w:tcPr>
            <w:tcW w:w="895" w:type="dxa"/>
            <w:gridSpan w:val="3"/>
            <w:vMerge w:val="restart"/>
            <w:tcBorders>
              <w:top w:val="nil"/>
              <w:left w:val="nil"/>
              <w:bottom w:val="single" w:color="000000" w:sz="8" w:space="0"/>
              <w:right w:val="single" w:color="000000" w:sz="8" w:space="0"/>
            </w:tcBorders>
            <w:shd w:val="clear" w:color="auto" w:fill="auto"/>
            <w:vAlign w:val="center"/>
          </w:tcPr>
          <w:p>
            <w:pPr>
              <w:widowControl/>
              <w:spacing w:line="240" w:lineRule="auto"/>
              <w:ind w:firstLine="480" w:firstLineChars="0"/>
              <w:jc w:val="center"/>
              <w:textAlignment w:val="center"/>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其他资产</w:t>
            </w:r>
          </w:p>
        </w:tc>
      </w:tr>
      <w:tr>
        <w:tblPrEx>
          <w:tblLayout w:type="fixed"/>
          <w:tblCellMar>
            <w:top w:w="15" w:type="dxa"/>
            <w:left w:w="15" w:type="dxa"/>
            <w:bottom w:w="15" w:type="dxa"/>
            <w:right w:w="15" w:type="dxa"/>
          </w:tblCellMar>
        </w:tblPrEx>
        <w:trPr>
          <w:trHeight w:val="345" w:hRule="atLeast"/>
        </w:trPr>
        <w:tc>
          <w:tcPr>
            <w:tcW w:w="830"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hint="eastAsia" w:ascii="仿宋_GB2312" w:hAnsi="仿宋_GB2312" w:eastAsia="仿宋_GB2312" w:cs="仿宋_GB2312"/>
                <w:kern w:val="0"/>
                <w:sz w:val="32"/>
                <w:szCs w:val="32"/>
              </w:rPr>
            </w:pPr>
          </w:p>
        </w:tc>
        <w:tc>
          <w:tcPr>
            <w:tcW w:w="830" w:type="dxa"/>
            <w:vMerge w:val="continue"/>
            <w:tcBorders>
              <w:top w:val="nil"/>
              <w:left w:val="nil"/>
              <w:bottom w:val="single" w:color="000000" w:sz="8" w:space="0"/>
              <w:right w:val="single" w:color="000000" w:sz="8" w:space="0"/>
            </w:tcBorders>
            <w:vAlign w:val="center"/>
          </w:tcPr>
          <w:p>
            <w:pPr>
              <w:widowControl/>
              <w:spacing w:line="240" w:lineRule="auto"/>
              <w:ind w:firstLine="0" w:firstLineChars="0"/>
              <w:jc w:val="left"/>
              <w:rPr>
                <w:rFonts w:hint="eastAsia" w:ascii="仿宋_GB2312" w:hAnsi="仿宋_GB2312" w:eastAsia="仿宋_GB2312" w:cs="仿宋_GB2312"/>
                <w:kern w:val="0"/>
                <w:sz w:val="32"/>
                <w:szCs w:val="32"/>
              </w:rPr>
            </w:pPr>
          </w:p>
        </w:tc>
        <w:tc>
          <w:tcPr>
            <w:tcW w:w="1399" w:type="dxa"/>
            <w:vMerge w:val="continue"/>
            <w:tcBorders>
              <w:top w:val="nil"/>
              <w:left w:val="nil"/>
              <w:bottom w:val="single" w:color="000000" w:sz="8" w:space="0"/>
              <w:right w:val="single" w:color="000000" w:sz="8" w:space="0"/>
            </w:tcBorders>
            <w:vAlign w:val="center"/>
          </w:tcPr>
          <w:p>
            <w:pPr>
              <w:widowControl/>
              <w:spacing w:line="240" w:lineRule="auto"/>
              <w:ind w:firstLine="0" w:firstLineChars="0"/>
              <w:jc w:val="left"/>
              <w:rPr>
                <w:rFonts w:hint="eastAsia" w:ascii="仿宋_GB2312" w:hAnsi="仿宋_GB2312" w:eastAsia="仿宋_GB2312" w:cs="仿宋_GB2312"/>
                <w:kern w:val="0"/>
                <w:sz w:val="32"/>
                <w:szCs w:val="32"/>
              </w:rPr>
            </w:pPr>
          </w:p>
        </w:tc>
        <w:tc>
          <w:tcPr>
            <w:tcW w:w="830" w:type="dxa"/>
            <w:vMerge w:val="continue"/>
            <w:tcBorders>
              <w:top w:val="nil"/>
              <w:left w:val="nil"/>
              <w:bottom w:val="single" w:color="000000" w:sz="8" w:space="0"/>
              <w:right w:val="single" w:color="000000" w:sz="8" w:space="0"/>
            </w:tcBorders>
            <w:vAlign w:val="center"/>
          </w:tcPr>
          <w:p>
            <w:pPr>
              <w:widowControl/>
              <w:spacing w:line="240" w:lineRule="auto"/>
              <w:ind w:firstLine="0" w:firstLineChars="0"/>
              <w:jc w:val="left"/>
              <w:rPr>
                <w:rFonts w:hint="eastAsia" w:ascii="仿宋_GB2312" w:hAnsi="仿宋_GB2312" w:eastAsia="仿宋_GB2312" w:cs="仿宋_GB2312"/>
                <w:kern w:val="0"/>
                <w:sz w:val="32"/>
                <w:szCs w:val="32"/>
              </w:rPr>
            </w:pPr>
          </w:p>
        </w:tc>
        <w:tc>
          <w:tcPr>
            <w:tcW w:w="1399" w:type="dxa"/>
            <w:vMerge w:val="restart"/>
            <w:tcBorders>
              <w:top w:val="nil"/>
              <w:left w:val="nil"/>
              <w:bottom w:val="single" w:color="000000" w:sz="8" w:space="0"/>
              <w:right w:val="single" w:color="000000" w:sz="8" w:space="0"/>
            </w:tcBorders>
            <w:shd w:val="clear" w:color="auto" w:fill="auto"/>
            <w:vAlign w:val="center"/>
          </w:tcPr>
          <w:p>
            <w:pPr>
              <w:widowControl/>
              <w:spacing w:line="240" w:lineRule="auto"/>
              <w:ind w:firstLine="480" w:firstLineChars="0"/>
              <w:jc w:val="center"/>
              <w:textAlignment w:val="center"/>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小计</w:t>
            </w:r>
          </w:p>
        </w:tc>
        <w:tc>
          <w:tcPr>
            <w:tcW w:w="830" w:type="dxa"/>
            <w:vMerge w:val="restart"/>
            <w:tcBorders>
              <w:top w:val="nil"/>
              <w:left w:val="nil"/>
              <w:bottom w:val="single" w:color="000000" w:sz="8" w:space="0"/>
              <w:right w:val="single" w:color="000000" w:sz="8" w:space="0"/>
            </w:tcBorders>
            <w:shd w:val="clear" w:color="auto" w:fill="auto"/>
            <w:vAlign w:val="center"/>
          </w:tcPr>
          <w:p>
            <w:pPr>
              <w:widowControl/>
              <w:spacing w:line="240" w:lineRule="auto"/>
              <w:ind w:firstLine="480" w:firstLineChars="0"/>
              <w:jc w:val="center"/>
              <w:textAlignment w:val="center"/>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房屋构筑物</w:t>
            </w:r>
          </w:p>
        </w:tc>
        <w:tc>
          <w:tcPr>
            <w:tcW w:w="830" w:type="dxa"/>
            <w:vMerge w:val="restart"/>
            <w:tcBorders>
              <w:top w:val="nil"/>
              <w:left w:val="nil"/>
              <w:bottom w:val="single" w:color="000000" w:sz="8" w:space="0"/>
              <w:right w:val="single" w:color="000000" w:sz="8" w:space="0"/>
            </w:tcBorders>
            <w:shd w:val="clear" w:color="auto" w:fill="auto"/>
            <w:vAlign w:val="center"/>
          </w:tcPr>
          <w:p>
            <w:pPr>
              <w:widowControl/>
              <w:spacing w:line="240" w:lineRule="auto"/>
              <w:ind w:firstLine="480" w:firstLineChars="0"/>
              <w:jc w:val="center"/>
              <w:textAlignment w:val="center"/>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车辆</w:t>
            </w:r>
          </w:p>
        </w:tc>
        <w:tc>
          <w:tcPr>
            <w:tcW w:w="876" w:type="dxa"/>
            <w:gridSpan w:val="2"/>
            <w:vMerge w:val="restart"/>
            <w:tcBorders>
              <w:top w:val="nil"/>
              <w:left w:val="nil"/>
              <w:bottom w:val="single" w:color="000000" w:sz="8" w:space="0"/>
              <w:right w:val="single" w:color="000000" w:sz="8" w:space="0"/>
            </w:tcBorders>
            <w:shd w:val="clear" w:color="auto" w:fill="auto"/>
            <w:vAlign w:val="center"/>
          </w:tcPr>
          <w:p>
            <w:pPr>
              <w:widowControl/>
              <w:spacing w:line="240" w:lineRule="auto"/>
              <w:ind w:firstLine="480" w:firstLineChars="0"/>
              <w:jc w:val="center"/>
              <w:textAlignment w:val="center"/>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单价200万以上大型设备</w:t>
            </w:r>
          </w:p>
        </w:tc>
        <w:tc>
          <w:tcPr>
            <w:tcW w:w="1399" w:type="dxa"/>
            <w:gridSpan w:val="2"/>
            <w:vMerge w:val="restart"/>
            <w:tcBorders>
              <w:top w:val="nil"/>
              <w:left w:val="nil"/>
              <w:bottom w:val="single" w:color="000000" w:sz="8" w:space="0"/>
              <w:right w:val="single" w:color="000000" w:sz="8" w:space="0"/>
            </w:tcBorders>
            <w:shd w:val="clear" w:color="auto" w:fill="auto"/>
            <w:vAlign w:val="center"/>
          </w:tcPr>
          <w:p>
            <w:pPr>
              <w:widowControl/>
              <w:spacing w:line="240" w:lineRule="auto"/>
              <w:ind w:firstLine="480" w:firstLineChars="0"/>
              <w:jc w:val="center"/>
              <w:textAlignment w:val="center"/>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其他固定资产</w:t>
            </w:r>
          </w:p>
        </w:tc>
        <w:tc>
          <w:tcPr>
            <w:tcW w:w="830" w:type="dxa"/>
            <w:vMerge w:val="continue"/>
            <w:tcBorders>
              <w:top w:val="nil"/>
              <w:left w:val="nil"/>
              <w:bottom w:val="single" w:color="000000" w:sz="8" w:space="0"/>
              <w:right w:val="single" w:color="000000" w:sz="8" w:space="0"/>
            </w:tcBorders>
            <w:vAlign w:val="center"/>
          </w:tcPr>
          <w:p>
            <w:pPr>
              <w:widowControl/>
              <w:spacing w:line="240" w:lineRule="auto"/>
              <w:ind w:firstLine="0" w:firstLineChars="0"/>
              <w:jc w:val="left"/>
              <w:rPr>
                <w:rFonts w:hint="eastAsia" w:ascii="仿宋_GB2312" w:hAnsi="仿宋_GB2312" w:eastAsia="仿宋_GB2312" w:cs="仿宋_GB2312"/>
                <w:kern w:val="0"/>
                <w:sz w:val="32"/>
                <w:szCs w:val="32"/>
              </w:rPr>
            </w:pPr>
          </w:p>
        </w:tc>
        <w:tc>
          <w:tcPr>
            <w:tcW w:w="830" w:type="dxa"/>
            <w:vMerge w:val="continue"/>
            <w:tcBorders>
              <w:top w:val="nil"/>
              <w:left w:val="nil"/>
              <w:bottom w:val="single" w:color="000000" w:sz="8" w:space="0"/>
              <w:right w:val="single" w:color="000000" w:sz="8" w:space="0"/>
            </w:tcBorders>
            <w:vAlign w:val="center"/>
          </w:tcPr>
          <w:p>
            <w:pPr>
              <w:widowControl/>
              <w:spacing w:line="240" w:lineRule="auto"/>
              <w:ind w:firstLine="0" w:firstLineChars="0"/>
              <w:jc w:val="left"/>
              <w:rPr>
                <w:rFonts w:hint="eastAsia" w:ascii="仿宋_GB2312" w:hAnsi="仿宋_GB2312" w:eastAsia="仿宋_GB2312" w:cs="仿宋_GB2312"/>
                <w:kern w:val="0"/>
                <w:sz w:val="32"/>
                <w:szCs w:val="32"/>
              </w:rPr>
            </w:pPr>
          </w:p>
        </w:tc>
        <w:tc>
          <w:tcPr>
            <w:tcW w:w="1025" w:type="dxa"/>
            <w:gridSpan w:val="2"/>
            <w:vMerge w:val="continue"/>
            <w:tcBorders>
              <w:top w:val="nil"/>
              <w:left w:val="nil"/>
              <w:bottom w:val="single" w:color="000000" w:sz="8" w:space="0"/>
              <w:right w:val="single" w:color="000000" w:sz="8" w:space="0"/>
            </w:tcBorders>
            <w:vAlign w:val="center"/>
          </w:tcPr>
          <w:p>
            <w:pPr>
              <w:widowControl/>
              <w:spacing w:line="240" w:lineRule="auto"/>
              <w:ind w:firstLine="0" w:firstLineChars="0"/>
              <w:jc w:val="left"/>
              <w:rPr>
                <w:rFonts w:hint="eastAsia" w:ascii="仿宋_GB2312" w:hAnsi="仿宋_GB2312" w:eastAsia="仿宋_GB2312" w:cs="仿宋_GB2312"/>
                <w:kern w:val="0"/>
                <w:sz w:val="32"/>
                <w:szCs w:val="32"/>
              </w:rPr>
            </w:pPr>
          </w:p>
        </w:tc>
        <w:tc>
          <w:tcPr>
            <w:tcW w:w="895" w:type="dxa"/>
            <w:gridSpan w:val="3"/>
            <w:vMerge w:val="continue"/>
            <w:tcBorders>
              <w:top w:val="nil"/>
              <w:left w:val="nil"/>
              <w:bottom w:val="single" w:color="000000" w:sz="8" w:space="0"/>
              <w:right w:val="single" w:color="000000" w:sz="8" w:space="0"/>
            </w:tcBorders>
            <w:vAlign w:val="center"/>
          </w:tcPr>
          <w:p>
            <w:pPr>
              <w:widowControl/>
              <w:spacing w:line="240" w:lineRule="auto"/>
              <w:ind w:firstLine="0" w:firstLineChars="0"/>
              <w:jc w:val="left"/>
              <w:rPr>
                <w:rFonts w:hint="eastAsia" w:ascii="仿宋_GB2312" w:hAnsi="仿宋_GB2312" w:eastAsia="仿宋_GB2312" w:cs="仿宋_GB2312"/>
                <w:kern w:val="0"/>
                <w:sz w:val="32"/>
                <w:szCs w:val="32"/>
              </w:rPr>
            </w:pPr>
          </w:p>
        </w:tc>
      </w:tr>
      <w:tr>
        <w:tblPrEx>
          <w:tblLayout w:type="fixed"/>
          <w:tblCellMar>
            <w:top w:w="15" w:type="dxa"/>
            <w:left w:w="15" w:type="dxa"/>
            <w:bottom w:w="15" w:type="dxa"/>
            <w:right w:w="15" w:type="dxa"/>
          </w:tblCellMar>
        </w:tblPrEx>
        <w:trPr>
          <w:trHeight w:val="395" w:hRule="atLeast"/>
        </w:trPr>
        <w:tc>
          <w:tcPr>
            <w:tcW w:w="830"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hint="eastAsia" w:ascii="仿宋_GB2312" w:hAnsi="仿宋_GB2312" w:eastAsia="仿宋_GB2312" w:cs="仿宋_GB2312"/>
                <w:kern w:val="0"/>
                <w:sz w:val="32"/>
                <w:szCs w:val="32"/>
              </w:rPr>
            </w:pPr>
          </w:p>
        </w:tc>
        <w:tc>
          <w:tcPr>
            <w:tcW w:w="830" w:type="dxa"/>
            <w:vMerge w:val="continue"/>
            <w:tcBorders>
              <w:top w:val="nil"/>
              <w:left w:val="nil"/>
              <w:bottom w:val="single" w:color="000000" w:sz="8" w:space="0"/>
              <w:right w:val="single" w:color="000000" w:sz="8" w:space="0"/>
            </w:tcBorders>
            <w:vAlign w:val="center"/>
          </w:tcPr>
          <w:p>
            <w:pPr>
              <w:widowControl/>
              <w:spacing w:line="240" w:lineRule="auto"/>
              <w:ind w:firstLine="0" w:firstLineChars="0"/>
              <w:jc w:val="left"/>
              <w:rPr>
                <w:rFonts w:hint="eastAsia" w:ascii="仿宋_GB2312" w:hAnsi="仿宋_GB2312" w:eastAsia="仿宋_GB2312" w:cs="仿宋_GB2312"/>
                <w:kern w:val="0"/>
                <w:sz w:val="32"/>
                <w:szCs w:val="32"/>
              </w:rPr>
            </w:pPr>
          </w:p>
        </w:tc>
        <w:tc>
          <w:tcPr>
            <w:tcW w:w="1399" w:type="dxa"/>
            <w:vMerge w:val="continue"/>
            <w:tcBorders>
              <w:top w:val="nil"/>
              <w:left w:val="nil"/>
              <w:bottom w:val="single" w:color="000000" w:sz="8" w:space="0"/>
              <w:right w:val="single" w:color="000000" w:sz="8" w:space="0"/>
            </w:tcBorders>
            <w:vAlign w:val="center"/>
          </w:tcPr>
          <w:p>
            <w:pPr>
              <w:widowControl/>
              <w:spacing w:line="240" w:lineRule="auto"/>
              <w:ind w:firstLine="0" w:firstLineChars="0"/>
              <w:jc w:val="left"/>
              <w:rPr>
                <w:rFonts w:hint="eastAsia" w:ascii="仿宋_GB2312" w:hAnsi="仿宋_GB2312" w:eastAsia="仿宋_GB2312" w:cs="仿宋_GB2312"/>
                <w:kern w:val="0"/>
                <w:sz w:val="32"/>
                <w:szCs w:val="32"/>
              </w:rPr>
            </w:pPr>
          </w:p>
        </w:tc>
        <w:tc>
          <w:tcPr>
            <w:tcW w:w="830" w:type="dxa"/>
            <w:vMerge w:val="continue"/>
            <w:tcBorders>
              <w:top w:val="nil"/>
              <w:left w:val="nil"/>
              <w:bottom w:val="single" w:color="000000" w:sz="8" w:space="0"/>
              <w:right w:val="single" w:color="000000" w:sz="8" w:space="0"/>
            </w:tcBorders>
            <w:vAlign w:val="center"/>
          </w:tcPr>
          <w:p>
            <w:pPr>
              <w:widowControl/>
              <w:spacing w:line="240" w:lineRule="auto"/>
              <w:ind w:firstLine="0" w:firstLineChars="0"/>
              <w:jc w:val="left"/>
              <w:rPr>
                <w:rFonts w:hint="eastAsia" w:ascii="仿宋_GB2312" w:hAnsi="仿宋_GB2312" w:eastAsia="仿宋_GB2312" w:cs="仿宋_GB2312"/>
                <w:kern w:val="0"/>
                <w:sz w:val="32"/>
                <w:szCs w:val="32"/>
              </w:rPr>
            </w:pPr>
          </w:p>
        </w:tc>
        <w:tc>
          <w:tcPr>
            <w:tcW w:w="1399" w:type="dxa"/>
            <w:vMerge w:val="continue"/>
            <w:tcBorders>
              <w:top w:val="nil"/>
              <w:left w:val="nil"/>
              <w:bottom w:val="single" w:color="000000" w:sz="8" w:space="0"/>
              <w:right w:val="single" w:color="000000" w:sz="8" w:space="0"/>
            </w:tcBorders>
            <w:vAlign w:val="center"/>
          </w:tcPr>
          <w:p>
            <w:pPr>
              <w:widowControl/>
              <w:spacing w:line="240" w:lineRule="auto"/>
              <w:ind w:firstLine="0" w:firstLineChars="0"/>
              <w:jc w:val="left"/>
              <w:rPr>
                <w:rFonts w:hint="eastAsia" w:ascii="仿宋_GB2312" w:hAnsi="仿宋_GB2312" w:eastAsia="仿宋_GB2312" w:cs="仿宋_GB2312"/>
                <w:kern w:val="0"/>
                <w:sz w:val="32"/>
                <w:szCs w:val="32"/>
              </w:rPr>
            </w:pPr>
          </w:p>
        </w:tc>
        <w:tc>
          <w:tcPr>
            <w:tcW w:w="830" w:type="dxa"/>
            <w:vMerge w:val="continue"/>
            <w:tcBorders>
              <w:top w:val="nil"/>
              <w:left w:val="nil"/>
              <w:bottom w:val="single" w:color="000000" w:sz="8" w:space="0"/>
              <w:right w:val="single" w:color="000000" w:sz="8" w:space="0"/>
            </w:tcBorders>
            <w:vAlign w:val="center"/>
          </w:tcPr>
          <w:p>
            <w:pPr>
              <w:widowControl/>
              <w:spacing w:line="240" w:lineRule="auto"/>
              <w:ind w:firstLine="0" w:firstLineChars="0"/>
              <w:jc w:val="left"/>
              <w:rPr>
                <w:rFonts w:hint="eastAsia" w:ascii="仿宋_GB2312" w:hAnsi="仿宋_GB2312" w:eastAsia="仿宋_GB2312" w:cs="仿宋_GB2312"/>
                <w:kern w:val="0"/>
                <w:sz w:val="32"/>
                <w:szCs w:val="32"/>
              </w:rPr>
            </w:pPr>
          </w:p>
        </w:tc>
        <w:tc>
          <w:tcPr>
            <w:tcW w:w="830" w:type="dxa"/>
            <w:vMerge w:val="continue"/>
            <w:tcBorders>
              <w:top w:val="nil"/>
              <w:left w:val="nil"/>
              <w:bottom w:val="single" w:color="000000" w:sz="8" w:space="0"/>
              <w:right w:val="single" w:color="000000" w:sz="8" w:space="0"/>
            </w:tcBorders>
            <w:vAlign w:val="center"/>
          </w:tcPr>
          <w:p>
            <w:pPr>
              <w:widowControl/>
              <w:spacing w:line="240" w:lineRule="auto"/>
              <w:ind w:firstLine="0" w:firstLineChars="0"/>
              <w:jc w:val="left"/>
              <w:rPr>
                <w:rFonts w:hint="eastAsia" w:ascii="仿宋_GB2312" w:hAnsi="仿宋_GB2312" w:eastAsia="仿宋_GB2312" w:cs="仿宋_GB2312"/>
                <w:kern w:val="0"/>
                <w:sz w:val="32"/>
                <w:szCs w:val="32"/>
              </w:rPr>
            </w:pPr>
          </w:p>
        </w:tc>
        <w:tc>
          <w:tcPr>
            <w:tcW w:w="876" w:type="dxa"/>
            <w:gridSpan w:val="2"/>
            <w:vMerge w:val="continue"/>
            <w:tcBorders>
              <w:top w:val="nil"/>
              <w:left w:val="nil"/>
              <w:bottom w:val="single" w:color="000000" w:sz="8" w:space="0"/>
              <w:right w:val="single" w:color="000000" w:sz="8" w:space="0"/>
            </w:tcBorders>
            <w:vAlign w:val="center"/>
          </w:tcPr>
          <w:p>
            <w:pPr>
              <w:widowControl/>
              <w:spacing w:line="240" w:lineRule="auto"/>
              <w:ind w:firstLine="0" w:firstLineChars="0"/>
              <w:jc w:val="left"/>
              <w:rPr>
                <w:rFonts w:hint="eastAsia" w:ascii="仿宋_GB2312" w:hAnsi="仿宋_GB2312" w:eastAsia="仿宋_GB2312" w:cs="仿宋_GB2312"/>
                <w:kern w:val="0"/>
                <w:sz w:val="32"/>
                <w:szCs w:val="32"/>
              </w:rPr>
            </w:pPr>
          </w:p>
        </w:tc>
        <w:tc>
          <w:tcPr>
            <w:tcW w:w="1399" w:type="dxa"/>
            <w:gridSpan w:val="2"/>
            <w:vMerge w:val="continue"/>
            <w:tcBorders>
              <w:top w:val="nil"/>
              <w:left w:val="nil"/>
              <w:bottom w:val="single" w:color="000000" w:sz="8" w:space="0"/>
              <w:right w:val="single" w:color="000000" w:sz="8" w:space="0"/>
            </w:tcBorders>
            <w:vAlign w:val="center"/>
          </w:tcPr>
          <w:p>
            <w:pPr>
              <w:widowControl/>
              <w:spacing w:line="240" w:lineRule="auto"/>
              <w:ind w:firstLine="0" w:firstLineChars="0"/>
              <w:jc w:val="left"/>
              <w:rPr>
                <w:rFonts w:hint="eastAsia" w:ascii="仿宋_GB2312" w:hAnsi="仿宋_GB2312" w:eastAsia="仿宋_GB2312" w:cs="仿宋_GB2312"/>
                <w:kern w:val="0"/>
                <w:sz w:val="32"/>
                <w:szCs w:val="32"/>
              </w:rPr>
            </w:pPr>
          </w:p>
        </w:tc>
        <w:tc>
          <w:tcPr>
            <w:tcW w:w="830" w:type="dxa"/>
            <w:vMerge w:val="continue"/>
            <w:tcBorders>
              <w:top w:val="nil"/>
              <w:left w:val="nil"/>
              <w:bottom w:val="single" w:color="000000" w:sz="8" w:space="0"/>
              <w:right w:val="single" w:color="000000" w:sz="8" w:space="0"/>
            </w:tcBorders>
            <w:vAlign w:val="center"/>
          </w:tcPr>
          <w:p>
            <w:pPr>
              <w:widowControl/>
              <w:spacing w:line="240" w:lineRule="auto"/>
              <w:ind w:firstLine="0" w:firstLineChars="0"/>
              <w:jc w:val="left"/>
              <w:rPr>
                <w:rFonts w:hint="eastAsia" w:ascii="仿宋_GB2312" w:hAnsi="仿宋_GB2312" w:eastAsia="仿宋_GB2312" w:cs="仿宋_GB2312"/>
                <w:kern w:val="0"/>
                <w:sz w:val="32"/>
                <w:szCs w:val="32"/>
              </w:rPr>
            </w:pPr>
          </w:p>
        </w:tc>
        <w:tc>
          <w:tcPr>
            <w:tcW w:w="830" w:type="dxa"/>
            <w:vMerge w:val="continue"/>
            <w:tcBorders>
              <w:top w:val="nil"/>
              <w:left w:val="nil"/>
              <w:bottom w:val="single" w:color="000000" w:sz="8" w:space="0"/>
              <w:right w:val="single" w:color="000000" w:sz="8" w:space="0"/>
            </w:tcBorders>
            <w:vAlign w:val="center"/>
          </w:tcPr>
          <w:p>
            <w:pPr>
              <w:widowControl/>
              <w:spacing w:line="240" w:lineRule="auto"/>
              <w:ind w:firstLine="0" w:firstLineChars="0"/>
              <w:jc w:val="left"/>
              <w:rPr>
                <w:rFonts w:hint="eastAsia" w:ascii="仿宋_GB2312" w:hAnsi="仿宋_GB2312" w:eastAsia="仿宋_GB2312" w:cs="仿宋_GB2312"/>
                <w:kern w:val="0"/>
                <w:sz w:val="32"/>
                <w:szCs w:val="32"/>
              </w:rPr>
            </w:pPr>
          </w:p>
        </w:tc>
        <w:tc>
          <w:tcPr>
            <w:tcW w:w="1025" w:type="dxa"/>
            <w:gridSpan w:val="2"/>
            <w:vMerge w:val="continue"/>
            <w:tcBorders>
              <w:top w:val="nil"/>
              <w:left w:val="nil"/>
              <w:bottom w:val="single" w:color="000000" w:sz="8" w:space="0"/>
              <w:right w:val="single" w:color="000000" w:sz="8" w:space="0"/>
            </w:tcBorders>
            <w:vAlign w:val="center"/>
          </w:tcPr>
          <w:p>
            <w:pPr>
              <w:widowControl/>
              <w:spacing w:line="240" w:lineRule="auto"/>
              <w:ind w:firstLine="0" w:firstLineChars="0"/>
              <w:jc w:val="left"/>
              <w:rPr>
                <w:rFonts w:hint="eastAsia" w:ascii="仿宋_GB2312" w:hAnsi="仿宋_GB2312" w:eastAsia="仿宋_GB2312" w:cs="仿宋_GB2312"/>
                <w:kern w:val="0"/>
                <w:sz w:val="32"/>
                <w:szCs w:val="32"/>
              </w:rPr>
            </w:pPr>
          </w:p>
        </w:tc>
        <w:tc>
          <w:tcPr>
            <w:tcW w:w="895" w:type="dxa"/>
            <w:gridSpan w:val="3"/>
            <w:vMerge w:val="continue"/>
            <w:tcBorders>
              <w:top w:val="nil"/>
              <w:left w:val="nil"/>
              <w:bottom w:val="single" w:color="000000" w:sz="8" w:space="0"/>
              <w:right w:val="single" w:color="000000" w:sz="8" w:space="0"/>
            </w:tcBorders>
            <w:vAlign w:val="center"/>
          </w:tcPr>
          <w:p>
            <w:pPr>
              <w:widowControl/>
              <w:spacing w:line="240" w:lineRule="auto"/>
              <w:ind w:firstLine="0" w:firstLineChars="0"/>
              <w:jc w:val="left"/>
              <w:rPr>
                <w:rFonts w:hint="eastAsia" w:ascii="仿宋_GB2312" w:hAnsi="仿宋_GB2312" w:eastAsia="仿宋_GB2312" w:cs="仿宋_GB2312"/>
                <w:kern w:val="0"/>
                <w:sz w:val="32"/>
                <w:szCs w:val="32"/>
              </w:rPr>
            </w:pPr>
          </w:p>
        </w:tc>
      </w:tr>
      <w:tr>
        <w:tblPrEx>
          <w:tblLayout w:type="fixed"/>
          <w:tblCellMar>
            <w:top w:w="15" w:type="dxa"/>
            <w:left w:w="15" w:type="dxa"/>
            <w:bottom w:w="15" w:type="dxa"/>
            <w:right w:w="15" w:type="dxa"/>
          </w:tblCellMar>
        </w:tblPrEx>
        <w:trPr>
          <w:trHeight w:val="358" w:hRule="atLeast"/>
        </w:trPr>
        <w:tc>
          <w:tcPr>
            <w:tcW w:w="830"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ind w:firstLine="480" w:firstLineChars="0"/>
              <w:jc w:val="center"/>
              <w:textAlignment w:val="center"/>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栏次</w:t>
            </w:r>
          </w:p>
        </w:tc>
        <w:tc>
          <w:tcPr>
            <w:tcW w:w="830" w:type="dxa"/>
            <w:tcBorders>
              <w:top w:val="nil"/>
              <w:left w:val="nil"/>
              <w:bottom w:val="single" w:color="000000" w:sz="8" w:space="0"/>
              <w:right w:val="single" w:color="000000" w:sz="8" w:space="0"/>
            </w:tcBorders>
            <w:shd w:val="clear" w:color="auto" w:fill="auto"/>
            <w:vAlign w:val="center"/>
          </w:tcPr>
          <w:p>
            <w:pPr>
              <w:widowControl/>
              <w:spacing w:line="240" w:lineRule="auto"/>
              <w:ind w:firstLine="480" w:firstLineChars="0"/>
              <w:jc w:val="left"/>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 </w:t>
            </w:r>
          </w:p>
        </w:tc>
        <w:tc>
          <w:tcPr>
            <w:tcW w:w="1399" w:type="dxa"/>
            <w:tcBorders>
              <w:top w:val="nil"/>
              <w:left w:val="nil"/>
              <w:bottom w:val="single" w:color="000000" w:sz="8" w:space="0"/>
              <w:right w:val="single" w:color="000000" w:sz="8" w:space="0"/>
            </w:tcBorders>
            <w:shd w:val="clear" w:color="auto" w:fill="auto"/>
            <w:vAlign w:val="center"/>
          </w:tcPr>
          <w:p>
            <w:pPr>
              <w:widowControl/>
              <w:spacing w:line="240" w:lineRule="auto"/>
              <w:ind w:firstLine="480" w:firstLineChars="0"/>
              <w:jc w:val="center"/>
              <w:textAlignment w:val="center"/>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1</w:t>
            </w:r>
          </w:p>
        </w:tc>
        <w:tc>
          <w:tcPr>
            <w:tcW w:w="830" w:type="dxa"/>
            <w:tcBorders>
              <w:top w:val="nil"/>
              <w:left w:val="nil"/>
              <w:bottom w:val="single" w:color="000000" w:sz="8" w:space="0"/>
              <w:right w:val="single" w:color="000000" w:sz="8" w:space="0"/>
            </w:tcBorders>
            <w:shd w:val="clear" w:color="auto" w:fill="auto"/>
            <w:vAlign w:val="center"/>
          </w:tcPr>
          <w:p>
            <w:pPr>
              <w:widowControl/>
              <w:spacing w:line="240" w:lineRule="auto"/>
              <w:ind w:firstLine="480" w:firstLineChars="0"/>
              <w:jc w:val="center"/>
              <w:textAlignment w:val="center"/>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2</w:t>
            </w:r>
          </w:p>
        </w:tc>
        <w:tc>
          <w:tcPr>
            <w:tcW w:w="1399" w:type="dxa"/>
            <w:tcBorders>
              <w:top w:val="nil"/>
              <w:left w:val="nil"/>
              <w:bottom w:val="single" w:color="000000" w:sz="8" w:space="0"/>
              <w:right w:val="single" w:color="000000" w:sz="8" w:space="0"/>
            </w:tcBorders>
            <w:shd w:val="clear" w:color="auto" w:fill="auto"/>
            <w:vAlign w:val="center"/>
          </w:tcPr>
          <w:p>
            <w:pPr>
              <w:widowControl/>
              <w:spacing w:line="240" w:lineRule="auto"/>
              <w:ind w:firstLine="480" w:firstLineChars="0"/>
              <w:jc w:val="center"/>
              <w:textAlignment w:val="center"/>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3</w:t>
            </w:r>
          </w:p>
        </w:tc>
        <w:tc>
          <w:tcPr>
            <w:tcW w:w="830" w:type="dxa"/>
            <w:tcBorders>
              <w:top w:val="nil"/>
              <w:left w:val="nil"/>
              <w:bottom w:val="single" w:color="000000" w:sz="8" w:space="0"/>
              <w:right w:val="single" w:color="000000" w:sz="8" w:space="0"/>
            </w:tcBorders>
            <w:shd w:val="clear" w:color="auto" w:fill="auto"/>
            <w:vAlign w:val="center"/>
          </w:tcPr>
          <w:p>
            <w:pPr>
              <w:widowControl/>
              <w:spacing w:line="240" w:lineRule="auto"/>
              <w:ind w:firstLine="480" w:firstLineChars="0"/>
              <w:jc w:val="center"/>
              <w:textAlignment w:val="center"/>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4</w:t>
            </w:r>
          </w:p>
        </w:tc>
        <w:tc>
          <w:tcPr>
            <w:tcW w:w="830" w:type="dxa"/>
            <w:tcBorders>
              <w:top w:val="nil"/>
              <w:left w:val="nil"/>
              <w:bottom w:val="single" w:color="000000" w:sz="8" w:space="0"/>
              <w:right w:val="single" w:color="000000" w:sz="8" w:space="0"/>
            </w:tcBorders>
            <w:shd w:val="clear" w:color="auto" w:fill="auto"/>
            <w:vAlign w:val="center"/>
          </w:tcPr>
          <w:p>
            <w:pPr>
              <w:widowControl/>
              <w:spacing w:line="240" w:lineRule="auto"/>
              <w:ind w:firstLine="480" w:firstLineChars="0"/>
              <w:jc w:val="center"/>
              <w:textAlignment w:val="center"/>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5</w:t>
            </w:r>
          </w:p>
        </w:tc>
        <w:tc>
          <w:tcPr>
            <w:tcW w:w="876"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480" w:firstLineChars="0"/>
              <w:jc w:val="center"/>
              <w:textAlignment w:val="center"/>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6</w:t>
            </w:r>
          </w:p>
        </w:tc>
        <w:tc>
          <w:tcPr>
            <w:tcW w:w="1399"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480" w:firstLineChars="0"/>
              <w:jc w:val="center"/>
              <w:textAlignment w:val="center"/>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7</w:t>
            </w:r>
          </w:p>
        </w:tc>
        <w:tc>
          <w:tcPr>
            <w:tcW w:w="830" w:type="dxa"/>
            <w:tcBorders>
              <w:top w:val="nil"/>
              <w:left w:val="nil"/>
              <w:bottom w:val="single" w:color="000000" w:sz="8" w:space="0"/>
              <w:right w:val="single" w:color="000000" w:sz="8" w:space="0"/>
            </w:tcBorders>
            <w:shd w:val="clear" w:color="auto" w:fill="auto"/>
            <w:vAlign w:val="center"/>
          </w:tcPr>
          <w:p>
            <w:pPr>
              <w:widowControl/>
              <w:spacing w:line="240" w:lineRule="auto"/>
              <w:ind w:firstLine="480" w:firstLineChars="0"/>
              <w:jc w:val="center"/>
              <w:textAlignment w:val="center"/>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8</w:t>
            </w:r>
          </w:p>
        </w:tc>
        <w:tc>
          <w:tcPr>
            <w:tcW w:w="830" w:type="dxa"/>
            <w:tcBorders>
              <w:top w:val="nil"/>
              <w:left w:val="nil"/>
              <w:bottom w:val="single" w:color="000000" w:sz="8" w:space="0"/>
              <w:right w:val="single" w:color="000000" w:sz="8" w:space="0"/>
            </w:tcBorders>
            <w:shd w:val="clear" w:color="auto" w:fill="auto"/>
            <w:vAlign w:val="center"/>
          </w:tcPr>
          <w:p>
            <w:pPr>
              <w:widowControl/>
              <w:spacing w:line="240" w:lineRule="auto"/>
              <w:ind w:firstLine="480" w:firstLineChars="0"/>
              <w:jc w:val="center"/>
              <w:textAlignment w:val="center"/>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9</w:t>
            </w:r>
          </w:p>
        </w:tc>
        <w:tc>
          <w:tcPr>
            <w:tcW w:w="1025"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480" w:firstLineChars="0"/>
              <w:jc w:val="center"/>
              <w:textAlignment w:val="center"/>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10</w:t>
            </w:r>
          </w:p>
        </w:tc>
        <w:tc>
          <w:tcPr>
            <w:tcW w:w="895" w:type="dxa"/>
            <w:gridSpan w:val="3"/>
            <w:tcBorders>
              <w:top w:val="nil"/>
              <w:left w:val="nil"/>
              <w:bottom w:val="single" w:color="000000" w:sz="8" w:space="0"/>
              <w:right w:val="single" w:color="000000" w:sz="8" w:space="0"/>
            </w:tcBorders>
            <w:shd w:val="clear" w:color="auto" w:fill="auto"/>
            <w:vAlign w:val="center"/>
          </w:tcPr>
          <w:p>
            <w:pPr>
              <w:widowControl/>
              <w:spacing w:line="240" w:lineRule="auto"/>
              <w:ind w:firstLine="480" w:firstLineChars="0"/>
              <w:jc w:val="center"/>
              <w:textAlignment w:val="center"/>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11</w:t>
            </w:r>
          </w:p>
        </w:tc>
      </w:tr>
      <w:tr>
        <w:tblPrEx>
          <w:tblLayout w:type="fixed"/>
          <w:tblCellMar>
            <w:top w:w="15" w:type="dxa"/>
            <w:left w:w="15" w:type="dxa"/>
            <w:bottom w:w="15" w:type="dxa"/>
            <w:right w:w="15" w:type="dxa"/>
          </w:tblCellMar>
        </w:tblPrEx>
        <w:trPr>
          <w:trHeight w:val="563" w:hRule="atLeast"/>
        </w:trPr>
        <w:tc>
          <w:tcPr>
            <w:tcW w:w="830"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ind w:firstLine="480" w:firstLineChars="0"/>
              <w:jc w:val="center"/>
              <w:textAlignment w:val="center"/>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合计</w:t>
            </w:r>
          </w:p>
        </w:tc>
        <w:tc>
          <w:tcPr>
            <w:tcW w:w="830" w:type="dxa"/>
            <w:tcBorders>
              <w:top w:val="nil"/>
              <w:left w:val="nil"/>
              <w:bottom w:val="single" w:color="000000" w:sz="8" w:space="0"/>
              <w:right w:val="single" w:color="000000" w:sz="8" w:space="0"/>
            </w:tcBorders>
            <w:shd w:val="clear" w:color="auto" w:fill="auto"/>
            <w:vAlign w:val="center"/>
          </w:tcPr>
          <w:p>
            <w:pPr>
              <w:widowControl/>
              <w:spacing w:line="240" w:lineRule="auto"/>
              <w:ind w:firstLine="480" w:firstLineChars="0"/>
              <w:jc w:val="center"/>
              <w:textAlignment w:val="center"/>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1</w:t>
            </w:r>
          </w:p>
        </w:tc>
        <w:tc>
          <w:tcPr>
            <w:tcW w:w="1399" w:type="dxa"/>
            <w:tcBorders>
              <w:top w:val="nil"/>
              <w:left w:val="nil"/>
              <w:bottom w:val="single" w:color="000000" w:sz="8" w:space="0"/>
              <w:right w:val="single" w:color="000000" w:sz="8" w:space="0"/>
            </w:tcBorders>
            <w:shd w:val="clear" w:color="auto" w:fill="auto"/>
            <w:vAlign w:val="center"/>
          </w:tcPr>
          <w:p>
            <w:pPr>
              <w:widowControl/>
              <w:spacing w:line="240" w:lineRule="auto"/>
              <w:ind w:firstLine="480" w:firstLineChars="0"/>
              <w:jc w:val="right"/>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10.31 </w:t>
            </w:r>
          </w:p>
        </w:tc>
        <w:tc>
          <w:tcPr>
            <w:tcW w:w="830" w:type="dxa"/>
            <w:tcBorders>
              <w:top w:val="nil"/>
              <w:left w:val="nil"/>
              <w:bottom w:val="single" w:color="000000" w:sz="8" w:space="0"/>
              <w:right w:val="single" w:color="000000" w:sz="8" w:space="0"/>
            </w:tcBorders>
            <w:shd w:val="clear" w:color="auto" w:fill="auto"/>
            <w:vAlign w:val="center"/>
          </w:tcPr>
          <w:p>
            <w:pPr>
              <w:widowControl/>
              <w:spacing w:line="240" w:lineRule="auto"/>
              <w:ind w:firstLine="480" w:firstLineChars="0"/>
              <w:jc w:val="right"/>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0 </w:t>
            </w:r>
          </w:p>
        </w:tc>
        <w:tc>
          <w:tcPr>
            <w:tcW w:w="1399" w:type="dxa"/>
            <w:tcBorders>
              <w:top w:val="nil"/>
              <w:left w:val="nil"/>
              <w:bottom w:val="single" w:color="000000" w:sz="8" w:space="0"/>
              <w:right w:val="single" w:color="000000" w:sz="8" w:space="0"/>
            </w:tcBorders>
            <w:shd w:val="clear" w:color="auto" w:fill="auto"/>
            <w:vAlign w:val="center"/>
          </w:tcPr>
          <w:p>
            <w:pPr>
              <w:widowControl/>
              <w:spacing w:line="240" w:lineRule="auto"/>
              <w:ind w:firstLine="480" w:firstLineChars="0"/>
              <w:jc w:val="right"/>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10.31 </w:t>
            </w:r>
          </w:p>
        </w:tc>
        <w:tc>
          <w:tcPr>
            <w:tcW w:w="830" w:type="dxa"/>
            <w:tcBorders>
              <w:top w:val="nil"/>
              <w:left w:val="nil"/>
              <w:bottom w:val="single" w:color="000000" w:sz="8" w:space="0"/>
              <w:right w:val="single" w:color="000000" w:sz="8" w:space="0"/>
            </w:tcBorders>
            <w:shd w:val="clear" w:color="auto" w:fill="auto"/>
            <w:vAlign w:val="center"/>
          </w:tcPr>
          <w:p>
            <w:pPr>
              <w:widowControl/>
              <w:spacing w:line="240" w:lineRule="auto"/>
              <w:ind w:firstLine="480" w:firstLineChars="0"/>
              <w:jc w:val="right"/>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0 </w:t>
            </w:r>
          </w:p>
        </w:tc>
        <w:tc>
          <w:tcPr>
            <w:tcW w:w="830" w:type="dxa"/>
            <w:tcBorders>
              <w:top w:val="nil"/>
              <w:left w:val="nil"/>
              <w:bottom w:val="single" w:color="000000" w:sz="8" w:space="0"/>
              <w:right w:val="single" w:color="000000" w:sz="8" w:space="0"/>
            </w:tcBorders>
            <w:shd w:val="clear" w:color="auto" w:fill="auto"/>
            <w:vAlign w:val="center"/>
          </w:tcPr>
          <w:p>
            <w:pPr>
              <w:widowControl/>
              <w:spacing w:line="240" w:lineRule="auto"/>
              <w:ind w:firstLine="480" w:firstLineChars="0"/>
              <w:jc w:val="right"/>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0 </w:t>
            </w:r>
          </w:p>
        </w:tc>
        <w:tc>
          <w:tcPr>
            <w:tcW w:w="876"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480" w:firstLineChars="0"/>
              <w:jc w:val="right"/>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0 </w:t>
            </w:r>
          </w:p>
        </w:tc>
        <w:tc>
          <w:tcPr>
            <w:tcW w:w="1399"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480" w:firstLineChars="0"/>
              <w:jc w:val="right"/>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10.31 </w:t>
            </w:r>
          </w:p>
        </w:tc>
        <w:tc>
          <w:tcPr>
            <w:tcW w:w="830" w:type="dxa"/>
            <w:tcBorders>
              <w:top w:val="nil"/>
              <w:left w:val="nil"/>
              <w:bottom w:val="single" w:color="000000" w:sz="8" w:space="0"/>
              <w:right w:val="single" w:color="000000" w:sz="8" w:space="0"/>
            </w:tcBorders>
            <w:shd w:val="clear" w:color="auto" w:fill="auto"/>
            <w:vAlign w:val="center"/>
          </w:tcPr>
          <w:p>
            <w:pPr>
              <w:widowControl/>
              <w:spacing w:line="240" w:lineRule="auto"/>
              <w:ind w:firstLine="480" w:firstLineChars="0"/>
              <w:jc w:val="right"/>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0 </w:t>
            </w:r>
          </w:p>
        </w:tc>
        <w:tc>
          <w:tcPr>
            <w:tcW w:w="830" w:type="dxa"/>
            <w:tcBorders>
              <w:top w:val="nil"/>
              <w:left w:val="nil"/>
              <w:bottom w:val="single" w:color="000000" w:sz="8" w:space="0"/>
              <w:right w:val="single" w:color="000000" w:sz="8" w:space="0"/>
            </w:tcBorders>
            <w:shd w:val="clear" w:color="auto" w:fill="auto"/>
            <w:vAlign w:val="center"/>
          </w:tcPr>
          <w:p>
            <w:pPr>
              <w:widowControl/>
              <w:spacing w:line="240" w:lineRule="auto"/>
              <w:ind w:firstLine="480" w:firstLineChars="0"/>
              <w:jc w:val="right"/>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0 </w:t>
            </w:r>
          </w:p>
        </w:tc>
        <w:tc>
          <w:tcPr>
            <w:tcW w:w="1025"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480" w:firstLineChars="0"/>
              <w:jc w:val="right"/>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0 </w:t>
            </w:r>
          </w:p>
        </w:tc>
        <w:tc>
          <w:tcPr>
            <w:tcW w:w="895" w:type="dxa"/>
            <w:gridSpan w:val="3"/>
            <w:tcBorders>
              <w:top w:val="nil"/>
              <w:left w:val="nil"/>
              <w:bottom w:val="single" w:color="000000" w:sz="8" w:space="0"/>
              <w:right w:val="single" w:color="000000" w:sz="8" w:space="0"/>
            </w:tcBorders>
            <w:shd w:val="clear" w:color="auto" w:fill="auto"/>
            <w:vAlign w:val="center"/>
          </w:tcPr>
          <w:p>
            <w:pPr>
              <w:widowControl/>
              <w:spacing w:line="240" w:lineRule="auto"/>
              <w:ind w:firstLine="480" w:firstLineChars="0"/>
              <w:jc w:val="right"/>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0 </w:t>
            </w:r>
          </w:p>
        </w:tc>
      </w:tr>
      <w:tr>
        <w:tblPrEx>
          <w:tblLayout w:type="fixed"/>
          <w:tblCellMar>
            <w:top w:w="15" w:type="dxa"/>
            <w:left w:w="15" w:type="dxa"/>
            <w:bottom w:w="15" w:type="dxa"/>
            <w:right w:w="15" w:type="dxa"/>
          </w:tblCellMar>
        </w:tblPrEx>
        <w:trPr>
          <w:trHeight w:val="259" w:hRule="atLeast"/>
        </w:trPr>
        <w:tc>
          <w:tcPr>
            <w:tcW w:w="10883" w:type="dxa"/>
            <w:gridSpan w:val="13"/>
            <w:tcBorders>
              <w:top w:val="nil"/>
              <w:left w:val="nil"/>
              <w:bottom w:val="nil"/>
              <w:right w:val="nil"/>
            </w:tcBorders>
            <w:shd w:val="clear" w:color="auto" w:fill="auto"/>
            <w:vAlign w:val="bottom"/>
          </w:tcPr>
          <w:p>
            <w:pPr>
              <w:widowControl/>
              <w:spacing w:line="240" w:lineRule="auto"/>
              <w:ind w:firstLine="480" w:firstLineChars="0"/>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 </w:t>
            </w:r>
          </w:p>
        </w:tc>
        <w:tc>
          <w:tcPr>
            <w:tcW w:w="599" w:type="dxa"/>
            <w:tcBorders>
              <w:top w:val="nil"/>
              <w:left w:val="nil"/>
              <w:bottom w:val="nil"/>
              <w:right w:val="nil"/>
            </w:tcBorders>
            <w:shd w:val="clear" w:color="auto" w:fill="auto"/>
            <w:vAlign w:val="bottom"/>
          </w:tcPr>
          <w:p>
            <w:pPr>
              <w:widowControl/>
              <w:spacing w:line="240" w:lineRule="auto"/>
              <w:ind w:firstLine="480" w:firstLineChars="0"/>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 </w:t>
            </w:r>
          </w:p>
        </w:tc>
        <w:tc>
          <w:tcPr>
            <w:tcW w:w="599" w:type="dxa"/>
            <w:gridSpan w:val="2"/>
            <w:tcBorders>
              <w:top w:val="nil"/>
              <w:left w:val="nil"/>
              <w:bottom w:val="nil"/>
              <w:right w:val="nil"/>
            </w:tcBorders>
            <w:shd w:val="clear" w:color="auto" w:fill="auto"/>
            <w:vAlign w:val="bottom"/>
          </w:tcPr>
          <w:p>
            <w:pPr>
              <w:widowControl/>
              <w:spacing w:line="240" w:lineRule="auto"/>
              <w:ind w:firstLine="480" w:firstLineChars="0"/>
              <w:jc w:val="left"/>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 </w:t>
            </w:r>
          </w:p>
        </w:tc>
        <w:tc>
          <w:tcPr>
            <w:tcW w:w="569" w:type="dxa"/>
            <w:tcBorders>
              <w:top w:val="nil"/>
              <w:left w:val="nil"/>
              <w:bottom w:val="nil"/>
              <w:right w:val="nil"/>
            </w:tcBorders>
            <w:shd w:val="clear" w:color="auto" w:fill="auto"/>
            <w:tcMar>
              <w:top w:w="0" w:type="dxa"/>
              <w:left w:w="0" w:type="dxa"/>
              <w:bottom w:w="0" w:type="dxa"/>
              <w:right w:w="0" w:type="dxa"/>
            </w:tcMar>
            <w:vAlign w:val="center"/>
          </w:tcPr>
          <w:p>
            <w:pPr>
              <w:widowControl/>
              <w:spacing w:line="240" w:lineRule="auto"/>
              <w:ind w:firstLine="480" w:firstLineChars="0"/>
              <w:jc w:val="left"/>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 </w:t>
            </w:r>
          </w:p>
        </w:tc>
        <w:tc>
          <w:tcPr>
            <w:tcW w:w="153" w:type="dxa"/>
            <w:tcBorders>
              <w:top w:val="nil"/>
              <w:left w:val="nil"/>
              <w:bottom w:val="nil"/>
              <w:right w:val="nil"/>
            </w:tcBorders>
            <w:shd w:val="clear" w:color="auto" w:fill="auto"/>
            <w:vAlign w:val="center"/>
          </w:tcPr>
          <w:p>
            <w:pPr>
              <w:widowControl/>
              <w:spacing w:line="240" w:lineRule="auto"/>
              <w:ind w:firstLine="480" w:firstLineChars="0"/>
              <w:jc w:val="left"/>
              <w:rPr>
                <w:rFonts w:hint="eastAsia" w:ascii="仿宋_GB2312" w:hAnsi="仿宋_GB2312" w:eastAsia="仿宋_GB2312" w:cs="仿宋_GB2312"/>
                <w:kern w:val="0"/>
                <w:sz w:val="32"/>
                <w:szCs w:val="32"/>
              </w:rPr>
            </w:pPr>
          </w:p>
        </w:tc>
      </w:tr>
      <w:tr>
        <w:tblPrEx>
          <w:tblLayout w:type="fixed"/>
          <w:tblCellMar>
            <w:top w:w="15" w:type="dxa"/>
            <w:left w:w="15" w:type="dxa"/>
            <w:bottom w:w="15" w:type="dxa"/>
            <w:right w:w="15" w:type="dxa"/>
          </w:tblCellMar>
        </w:tblPrEx>
        <w:trPr>
          <w:trHeight w:val="495" w:hRule="atLeast"/>
        </w:trPr>
        <w:tc>
          <w:tcPr>
            <w:tcW w:w="11908" w:type="dxa"/>
            <w:gridSpan w:val="15"/>
            <w:tcBorders>
              <w:top w:val="nil"/>
              <w:left w:val="nil"/>
              <w:bottom w:val="nil"/>
              <w:right w:val="nil"/>
            </w:tcBorders>
            <w:shd w:val="clear" w:color="auto" w:fill="auto"/>
            <w:vAlign w:val="bottom"/>
          </w:tcPr>
          <w:p>
            <w:pPr>
              <w:widowControl/>
              <w:spacing w:line="240" w:lineRule="auto"/>
              <w:ind w:firstLine="480" w:firstLineChars="0"/>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填报说明：1.资产总额＝流动资产＋固定资产＋对外投资／有价证券＋在建工程＋无形资产＋其他资产</w:t>
            </w:r>
          </w:p>
          <w:p>
            <w:pPr>
              <w:widowControl/>
              <w:spacing w:line="240" w:lineRule="auto"/>
              <w:ind w:firstLine="480" w:firstLineChars="0"/>
              <w:jc w:val="left"/>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2.固定资产＝房屋构筑物＋车辆＋单价200万元以上大型设备＋其他固定资产</w:t>
            </w:r>
          </w:p>
        </w:tc>
        <w:tc>
          <w:tcPr>
            <w:tcW w:w="895" w:type="dxa"/>
            <w:gridSpan w:val="3"/>
            <w:tcBorders>
              <w:top w:val="nil"/>
              <w:left w:val="nil"/>
              <w:bottom w:val="nil"/>
              <w:right w:val="nil"/>
            </w:tcBorders>
            <w:shd w:val="clear" w:color="auto" w:fill="auto"/>
            <w:vAlign w:val="bottom"/>
          </w:tcPr>
          <w:p>
            <w:pPr>
              <w:widowControl/>
              <w:spacing w:line="240" w:lineRule="auto"/>
              <w:ind w:firstLine="480" w:firstLineChars="0"/>
              <w:jc w:val="left"/>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 </w:t>
            </w:r>
          </w:p>
        </w:tc>
      </w:tr>
    </w:tbl>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(三)政府采购支出情况</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2017年度，部门政府采购支出总额650万元，其中：政府采购货物支出0万元；政府采购工程支出650万元；政府采购服务支出0万元。授予中小企业合同金额0万元，占政府采购支出总额的0%。</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FF0000"/>
          <w:kern w:val="0"/>
          <w:sz w:val="32"/>
          <w:szCs w:val="32"/>
        </w:rPr>
        <w:t>(四)绩效自评信息情况</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FF0000"/>
          <w:kern w:val="0"/>
          <w:sz w:val="32"/>
          <w:szCs w:val="32"/>
        </w:rPr>
        <w:t>无</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（四）其他重要事项情况说明</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梁河县民族宗教事务局原来有一辆公务用车，因民族宗教事务局与统战部合署办公，保留了统战部的公务车，民族宗教事务局的公务车一辆由县政府委托拍卖公司公开拍卖，拍卖所得资金财政国库收回，因此民族宗教事务局帐面上没有收入（情况说明里没有介绍，但单位认为需要说明的情况在此说明。）</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（五）相关口径说明</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1．基本支出中人员经费包括工资福利支出和对个人和家庭的补助，日常公用支出包括商品和服务支出、其他资本性支出等人员经费以外的支出。</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2．机关运行经费指行政单位和参照公务员法管理的事业单位使用一般公共预算财政拨款安排的除人员经费以外的基本支出。</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3．按照党中央、国务院有关文件及部门预算管理有关规定，“三公”经费包括因公出国（境）费、公务用车购置及运行维护费、公务接待费。其中：因公出国（境）费，指单位工作人员公务出国（境）的国际旅费、国外城市间交通费、住宿费、伙食费、培训费、公杂费等支出；公务用车购置费，指单位公务用车车辆购置支出（含车辆购置税）；公务用车运行维护费，指单位按规定保留的公务用车燃料费、维修费、过桥过路费、保险费、安全奖励费用等支出；公务用车指用于履行公务的机动车辆，包括省部级干部专车、一般公务用车和执法执勤用车；公务接待费，指单位按规定开支的各类公务接待（含外宾接待）费用。</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4.“三公”经费决算数：指各部门（含下属单位）当年通过本级财政一般公共预算财政拨款和以前年度一般公共预算财政拨款结转结余资金安排的因公出国（境）费、公务用车购置及运行维护费和公务接待费支出数（包括基本支出和项目支出）。</w:t>
      </w:r>
    </w:p>
    <w:p>
      <w:pPr>
        <w:widowControl/>
        <w:spacing w:line="240" w:lineRule="auto"/>
        <w:ind w:firstLine="480" w:firstLineChars="0"/>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第四部分  名词解释</w:t>
      </w:r>
    </w:p>
    <w:p>
      <w:pPr>
        <w:widowControl/>
        <w:spacing w:line="240" w:lineRule="auto"/>
        <w:ind w:firstLine="42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（一）专业名词解释</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1、财政拨款收入：指财政当年拨付的资金。</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2、其他收入：指除上述“财政拨款收入”、“事业收入”、“经营收入”等以外的收入。</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3、年初结转和结余：指以前年度尚未完成、结转到本年仍按原规定用途继续使用的资金，或项目已完成等产生的结余资金。</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4、年末结转和结余：指单位按有关规定结转到下年或以后年度继续使用的资金，或项目已完成等产生的结余资金。</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5、社会保障和就业支出(类)行政事业单位离退休（款）：反映用于行政事业单位离退休方面的支出。</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归口管理的行政单位离退休（项）: 反映实行归口管理的行政单位开支的离退休经费。</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离退休人员管理机构（项）：反映实行归口管理的各类离退休人员管理机构的支出。</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6、住房保障支出（类）住房改革支出（款）：反映行政事业单位用财政拨款资金和其他资金等安排的住房改革支出。</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住房公积金（项）：反映行政事业单位按人力资源和社会保障部、财政部规定的基本工资和津贴补贴以及规定比例为职工缴纳的住房公积金。</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7、基本支出：指为保障机构正常运转、完成日常工作任务而发生的人员经费和日常公用经费。</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8、项目支出：指在基本支出之外为完成特定行政任务和事业发展目标所发生的支出。</w:t>
      </w:r>
    </w:p>
    <w:p>
      <w:pPr>
        <w:widowControl/>
        <w:spacing w:line="240" w:lineRule="auto"/>
        <w:ind w:firstLine="48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9、“三公”经费：中央财政预决算管理的“三公”经费指中央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购置支出（含车辆购置税）及租用费、燃料费、维修费、过路过桥费、保险费、安全奖励费用等支出；公务接待费反映单位按规定开支的各类公务接待（含外宾接待）支出。</w:t>
      </w:r>
    </w:p>
    <w:p>
      <w:pPr>
        <w:widowControl/>
        <w:spacing w:line="240" w:lineRule="auto"/>
        <w:ind w:firstLine="420" w:firstLineChars="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10、机关运行经费：指为保障行政单位运行用于购买货物和服务的各项资金，包括办公及印刷费、邮电费、差旅费、会议费、一般设备购置费、办公用房水电费、办公用房取暖费、办公用房物业管理费、公务用车运行维护费以及其他费用。</w:t>
      </w:r>
    </w:p>
    <w:p>
      <w:pPr>
        <w:widowControl/>
        <w:spacing w:line="240" w:lineRule="auto"/>
        <w:ind w:firstLine="480" w:firstLineChars="0"/>
        <w:rPr>
          <w:rFonts w:hint="eastAsia" w:ascii="仿宋_GB2312" w:hAnsi="仿宋_GB2312" w:eastAsia="仿宋_GB2312" w:cs="仿宋_GB2312"/>
          <w:color w:val="333333"/>
          <w:kern w:val="0"/>
          <w:sz w:val="32"/>
          <w:szCs w:val="32"/>
        </w:rPr>
      </w:pPr>
    </w:p>
    <w:p>
      <w:pPr>
        <w:widowControl/>
        <w:spacing w:line="240" w:lineRule="auto"/>
        <w:ind w:firstLine="480" w:firstLineChars="0"/>
        <w:jc w:val="center"/>
        <w:rPr>
          <w:rFonts w:hint="eastAsia" w:ascii="仿宋_GB2312" w:hAnsi="仿宋_GB2312" w:eastAsia="仿宋_GB2312" w:cs="仿宋_GB2312"/>
          <w:color w:val="333333"/>
          <w:kern w:val="0"/>
          <w:sz w:val="32"/>
          <w:szCs w:val="32"/>
        </w:rPr>
      </w:pPr>
    </w:p>
    <w:p>
      <w:pPr>
        <w:widowControl/>
        <w:spacing w:line="240" w:lineRule="auto"/>
        <w:ind w:firstLine="480" w:firstLineChars="0"/>
        <w:jc w:val="center"/>
        <w:rPr>
          <w:rFonts w:hint="eastAsia" w:ascii="仿宋_GB2312" w:hAnsi="仿宋_GB2312" w:eastAsia="仿宋_GB2312" w:cs="仿宋_GB2312"/>
          <w:color w:val="333333"/>
          <w:kern w:val="0"/>
          <w:sz w:val="32"/>
          <w:szCs w:val="32"/>
        </w:rPr>
      </w:pPr>
    </w:p>
    <w:p>
      <w:pPr>
        <w:ind w:firstLine="480"/>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default"/>
    <w:sig w:usb0="E0002EFF" w:usb1="C000785B" w:usb2="00000009" w:usb3="00000000" w:csb0="400001FF" w:csb1="FFFF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EzNjI3ODBlYTY1Y2M4M2U2YTM5ODhkNGQ0MThhMTAifQ=="/>
  </w:docVars>
  <w:rsids>
    <w:rsidRoot w:val="00C0594E"/>
    <w:rsid w:val="0053135C"/>
    <w:rsid w:val="005C7E77"/>
    <w:rsid w:val="0080149D"/>
    <w:rsid w:val="008911AE"/>
    <w:rsid w:val="00C0594E"/>
    <w:rsid w:val="00CE7B20"/>
    <w:rsid w:val="00D2045A"/>
    <w:rsid w:val="00DF3D42"/>
    <w:rsid w:val="104A456B"/>
    <w:rsid w:val="1A37780E"/>
    <w:rsid w:val="21862B87"/>
    <w:rsid w:val="335D6298"/>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7"/>
    <w:qFormat/>
    <w:uiPriority w:val="9"/>
    <w:pPr>
      <w:widowControl/>
      <w:spacing w:before="100" w:beforeAutospacing="1" w:after="100" w:afterAutospacing="1" w:line="240" w:lineRule="auto"/>
      <w:ind w:firstLine="0" w:firstLineChars="0"/>
      <w:jc w:val="left"/>
      <w:outlineLvl w:val="2"/>
    </w:pPr>
    <w:rPr>
      <w:rFonts w:ascii="宋体" w:hAnsi="宋体" w:eastAsia="宋体" w:cs="宋体"/>
      <w:b/>
      <w:bCs/>
      <w:kern w:val="0"/>
      <w:sz w:val="27"/>
      <w:szCs w:val="27"/>
    </w:rPr>
  </w:style>
  <w:style w:type="character" w:default="1" w:styleId="4">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3">
    <w:name w:val="Normal (Web)"/>
    <w:basedOn w:val="1"/>
    <w:unhideWhenUsed/>
    <w:qFormat/>
    <w:uiPriority w:val="99"/>
    <w:pPr>
      <w:widowControl/>
      <w:spacing w:before="100" w:beforeAutospacing="1" w:after="100" w:afterAutospacing="1" w:line="240" w:lineRule="auto"/>
      <w:ind w:firstLine="0" w:firstLineChars="0"/>
      <w:jc w:val="left"/>
    </w:pPr>
    <w:rPr>
      <w:rFonts w:ascii="宋体" w:hAnsi="宋体" w:eastAsia="宋体" w:cs="宋体"/>
      <w:kern w:val="0"/>
      <w:sz w:val="24"/>
      <w:szCs w:val="24"/>
    </w:rPr>
  </w:style>
  <w:style w:type="character" w:styleId="5">
    <w:name w:val="Emphasis"/>
    <w:basedOn w:val="4"/>
    <w:qFormat/>
    <w:uiPriority w:val="20"/>
    <w:rPr>
      <w:i/>
      <w:iCs/>
    </w:rPr>
  </w:style>
  <w:style w:type="character" w:customStyle="1" w:styleId="7">
    <w:name w:val="标题 3 Char"/>
    <w:basedOn w:val="4"/>
    <w:link w:val="2"/>
    <w:qFormat/>
    <w:uiPriority w:val="9"/>
    <w:rPr>
      <w:rFonts w:ascii="宋体" w:hAnsi="宋体" w:eastAsia="宋体" w:cs="宋体"/>
      <w:b/>
      <w:bCs/>
      <w:kern w:val="0"/>
      <w:sz w:val="27"/>
      <w:szCs w:val="27"/>
    </w:rPr>
  </w:style>
  <w:style w:type="character" w:customStyle="1" w:styleId="8">
    <w:name w:val="skim"/>
    <w:basedOn w:val="4"/>
    <w:uiPriority w:val="0"/>
  </w:style>
  <w:style w:type="character" w:customStyle="1" w:styleId="9">
    <w:name w:val="apple-converted-space"/>
    <w:basedOn w:val="4"/>
    <w:qFormat/>
    <w:uiPriority w:val="0"/>
  </w:style>
  <w:style w:type="character" w:customStyle="1" w:styleId="10">
    <w:name w:val="source"/>
    <w:basedOn w:val="4"/>
    <w:qFormat/>
    <w:uiPriority w:val="0"/>
  </w:style>
  <w:style w:type="character" w:customStyle="1" w:styleId="11">
    <w:name w:val="date"/>
    <w:basedOn w:val="4"/>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5835</Words>
  <Characters>6247</Characters>
  <Lines>45</Lines>
  <Paragraphs>12</Paragraphs>
  <ScaleCrop>false</ScaleCrop>
  <LinksUpToDate>false</LinksUpToDate>
  <CharactersWithSpaces>6288</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2019-02-15T01:15:00Z</dcterms:created>
  <dc:creator>Administrator</dc:creator>
  <cp:lastModifiedBy>DELL</cp:lastModifiedBy>
  <dcterms:modified xsi:type="dcterms:W3CDTF">2026-02-26T08:17:44Z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y fmtid="{D5CDD505-2E9C-101B-9397-08002B2CF9AE}" pid="3" name="ICV">
    <vt:lpwstr>E6E5DBDA19244AD4B99E203F262028CF_12</vt:lpwstr>
  </property>
</Properties>
</file>