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b w:val="0"/>
          <w:bCs/>
          <w:sz w:val="44"/>
          <w:szCs w:val="44"/>
          <w:lang w:eastAsia="zh-CN"/>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CWhc6oBQ9H6pNsQuhQHMcsjfwK+0ONR4tUZSGmTI2Z5sI8VsG+Tygp2gf09stqUsEh+PmGZcW4YeP/sa6/aAFo4yKhQdVRJ8kTVukVzd12StwwdmIPlz3AY0vAY20mEknxaptB+byUSg+04uIk238M3IAh9Y5WnjFsfMZmcIQiYUkGCALbmxZ9acsaJ/QesAyeFrTB+jYZ+vGr5lu8Bt+Z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Whc6oBQ9H6pNsQuhQHMcsjfwK+0ONR4tUZSGmTI2Z5sI8VsG+Tygp2gf09stqUsEh+PmGZcW4YeP/sa6/aAFo4yKhQdVRJ8kTVukVzd12StwwdmIPlz3AY0vAY20mEknxaptB+byUSg+04uIk238M3IAh9Y5WnjFsfMZmcIQiYUkGCALbmxZ9acsaJ/QesAyeFrTB+jYZ+vGr5lu8Bt+Z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ORbl/m0FAACGCAAADgAAAGRycy9lMm9Eb2MueG1s&#10;rVZJs6M2EL6nKv/B5asrww7m1bxJYfzw8w7GG76kBIgdhCXZGP/6CPvNlskpFQ6iW93qTfj7/PnP&#10;W1n0rhCTFFWvfeET3+/BKkBhWsWv/d3W+mPY7xEKqhAUqIKv/RaS/p9ffv/tc1O/QBElqAgh7rEg&#10;FXlp6td+Qmn9wnEkSGAJyCdUw4oZI4RLQJmKYy7EoGHRy4ITeV7lGoTDGqMAEsJ2x09j/8sjfhTB&#10;gK6jiEDaK177rDb6WPFj9buV+/IZvMQY1EkafJQB/kMVJUgrlvRbqDGgoHfB6S+hyjTAiKCIfgpQ&#10;yaEoSgP46IF1I/D/6MZNQA0fvbDhkPrbmMj/FzZYXW3cS0N2d/1eBUp2RfPJ+K8J8kHBdkJIAjat&#10;guSeZkv8QNJd1xXvUDJNzjwkgYpGjv6u1iviXBLnfRmQLGrmA3692sh0d3In5XYqnhQyHe7JZLBt&#10;41qMI14n9Lwjb8nALien4CB70OYIUDlgWEhu54kT7jezYb7dX/L9PRRElzZNWE7t4i4ZHn81PJEv&#10;3/LqBmo6Gvjtzo0HvHyZ5qI0XEpTI9E95VBlFomWpzKYOqm3yyemsfDL20kHAQEzzoHEaKGFt6NB&#10;5p0G1wlWistwRAenQPH0eVkTfnUrc/lY75EZNNMD1gvx7iVkcB4dElEUEhJQMopUl28p3NtXRxBk&#10;N7tYZ/Ww1JSwzJ0s31oXXUmminYNJWekLxCwZ25hb6Kl9U4mfhMIU0fzNHB2h+1VEuHu4jam6u4z&#10;f0PeLLi0RacxzvLyTjXJDdPVTVUVg9/vZ877yr7L+SIc5ypUivGuPtviIJ83g2wcVpkq26m2eFOs&#10;Sc2vuJNh3mqqelLJgU00zGMPJ8f05CetOps3mWVLZmYtL4dwplnKfO7NpYHN76TWPN70nb6W/ZGt&#10;hfJaWgoHKRi8FZPiKGyOrWMcgyFe4z20neNo6t320fGiZRe9hdkUymW8O73fMH/bzkM9zKPZOTNO&#10;ir+45s1G5tBQwjWrWxkr8sLMODiGsnzO0X6VUUmGZHjiuXEQmZZ59GSLE0KkYXMpKqMVRNHAGLbN&#10;KoTBpZDjvKL72FmuG/+4FqbZuow1cfQez5a6V24t/iiM3nArbCtw4iZOGqynw1htjXOyXa+rKqmM&#10;senjeLrg79QjYK04dmgvxFr01OYQeLu9P0V1LDuFjXkqTG45iNrYEst875437O6xox/W3oasVjMl&#10;Gs3ShsaJEW9jSo6KHzrzWsDrVt0c7Dc72NFjrlme3hgr9jkiWs8Gl1IwjOv9fGprf5tFC2Nijzb8&#10;8l4HtWoKBT+Huje3PWdsD4siqMornMBqWyzGtjuqB/Jm7N9Buc8Pu+O9mLtFqGVHhrq9JA1D2KFx&#10;h25NTV7Yj9ytbfyhESZ2UHWLcNm9GQj1bg9EbL8hIrzRXsA2VUnhGWwGzPIUWQzu+9EaEzqBqOx1&#10;wmsfM7h9oCC4Lgh9un516TIRVKShlRbFQ8Gxbxa4dwUMmpWRPhorXb0s+k9uRdVrWCui9qgDMIqI&#10;CkBZSWXNQItUcb8Hiph1G1D8yP3TafJjElnQBN18OiUghB+pefZ8zfx0/7WKrosxIMnzyCNFdwS8&#10;lCll/FWk5Wt/2AX6GqmoWJBu9s9pd5KPwpZhLUZPEiJ1YKUs7AIQagPMWIcNmjEpXbMlKhDrGn1I&#10;7EoRvv/bfufPyIBZ+72GsRibyPkCMOz3imnFaEIXZLmjvYciK5rIFPyjxf/RUl1KE7HbYMDPqnuI&#10;nT8tvooRRuWBEa7RZWUmUAUs93P2H4pJn+zKKDuAhvFwY1RXA7qo3Drogndzq5BxoShKH1/J9+l8&#10;DI2R3eMOPoi5Y9Mf9YfX978PX/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QcAAFtDb250ZW50X1R5cGVzXS54bWxQSwECFAAKAAAAAACHTuJA&#10;AAAAAAAAAAAAAAAABgAAAAAAAAAAABAAAADDBgAAX3JlbHMvUEsBAhQAFAAAAAgAh07iQIoUZjzR&#10;AAAAlAEAAAsAAAAAAAAAAQAgAAAA5wYAAF9yZWxzLy5yZWxzUEsBAhQACgAAAAAAh07iQAAAAAAA&#10;AAAAAAAAAAQAAAAAAAAAAAAQAAAAAAAAAGRycy9QSwECFAAUAAAACACHTuJAb4xXt9sAAAAPAQAA&#10;DwAAAAAAAAABACAAAAAiAAAAZHJzL2Rvd25yZXYueG1sUEsBAhQAFAAAAAgAh07iQDkW5f5tBQAA&#10;hggAAA4AAAAAAAAAAQAgAAAAKgEAAGRycy9lMm9Eb2MueG1sUEsFBgAAAAAGAAYAWQEAAAkJAAAA&#10;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val="0"/>
          <w:bCs/>
          <w:sz w:val="44"/>
          <w:szCs w:val="44"/>
          <w:lang w:eastAsia="zh-CN"/>
        </w:rPr>
        <w:t>梁河县财政局关于下达2022年中等职业</w:t>
      </w:r>
      <w:r>
        <w:rPr>
          <w:rFonts w:hint="eastAsia" w:eastAsia="方正小标宋_GBK" w:cs="Times New Roman"/>
          <w:b w:val="0"/>
          <w:bCs/>
          <w:sz w:val="44"/>
          <w:szCs w:val="44"/>
          <w:lang w:val="en-US" w:eastAsia="zh-CN"/>
        </w:rPr>
        <w:t xml:space="preserve">  </w:t>
      </w:r>
      <w:r>
        <w:rPr>
          <w:rFonts w:hint="default" w:ascii="Times New Roman" w:hAnsi="Times New Roman" w:eastAsia="方正小标宋_GBK" w:cs="Times New Roman"/>
          <w:b w:val="0"/>
          <w:bCs/>
          <w:sz w:val="44"/>
          <w:szCs w:val="44"/>
          <w:lang w:eastAsia="zh-CN"/>
        </w:rPr>
        <w:t>学生资助补助省级和州级资金的通知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val="en-US" w:eastAsia="zh-CN"/>
        </w:rPr>
        <w:t>梁河县职业高级中学</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42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bookmarkStart w:id="0" w:name="OLE_LINK1"/>
      <w:r>
        <w:rPr>
          <w:rFonts w:hint="default" w:ascii="Times New Roman" w:hAnsi="Times New Roman" w:eastAsia="方正仿宋_GBK" w:cs="Times New Roman"/>
          <w:color w:val="000000"/>
          <w:sz w:val="32"/>
          <w:szCs w:val="32"/>
          <w:lang w:val="en-US" w:eastAsia="zh-CN"/>
        </w:rPr>
        <w:t>根据《德宏州财政局德宏州教育局德宏州人力资源和社会保障局关于下达2022年中等职业学生资助补助省级资金的通知》（德财教〔2022〕94号），现下达你们2022年中等职业学生资助补助省级和州级资金25.42万元。该资金列入“2050302中等职业教育”相关功能支出科目。政府及部门支出经济分类科目，请根据该项目要求和实际情况按照《</w:t>
      </w:r>
      <w:r>
        <w:rPr>
          <w:rFonts w:hint="eastAsia" w:eastAsia="方正仿宋_GBK" w:cs="Times New Roman"/>
          <w:color w:val="000000"/>
          <w:sz w:val="32"/>
          <w:szCs w:val="32"/>
          <w:lang w:val="en-US" w:eastAsia="zh-CN"/>
        </w:rPr>
        <w:t>中华人民共和国</w:t>
      </w:r>
      <w:r>
        <w:rPr>
          <w:rFonts w:hint="default" w:ascii="Times New Roman" w:hAnsi="Times New Roman" w:eastAsia="方正仿宋_GBK" w:cs="Times New Roman"/>
          <w:color w:val="000000"/>
          <w:sz w:val="32"/>
          <w:szCs w:val="32"/>
          <w:lang w:val="en-US" w:eastAsia="zh-CN"/>
        </w:rPr>
        <w:t>预算法》和财政资金相关管理规定列支。现将有关事项通知如下：</w:t>
      </w:r>
    </w:p>
    <w:bookmarkEnd w:id="0"/>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一、此次下达的省级资金依据省财政厅、省人力资源和社会保障厅核定的受助学生人数确定，主要包括：中等职业国家助学金、免学费补助资金及省政府奖学金。</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二、请有关学校要严格落实《财</w:t>
      </w:r>
      <w:bookmarkStart w:id="1" w:name="_GoBack"/>
      <w:bookmarkEnd w:id="1"/>
      <w:r>
        <w:rPr>
          <w:rFonts w:hint="default" w:ascii="Times New Roman" w:hAnsi="Times New Roman" w:eastAsia="方正仿宋_GBK" w:cs="Times New Roman"/>
          <w:color w:val="000000"/>
          <w:sz w:val="32"/>
          <w:szCs w:val="32"/>
          <w:lang w:val="en-US" w:eastAsia="zh-CN"/>
        </w:rPr>
        <w:t>政部教育部人力资源社会保障部退役军人部中央军委国防动员部关于印发〈学生资助资金管理办法〉的通知》（财教〔2021〕310号）和《云南省学生资助资金管理实施办法》有关要求，及时足额将资助资金拨付到位，严禁缓拨、迟拨空拨，确保资助政策不打折扣落实到位。</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三、中职学生资助补助省级资金中的国家助学金、免学费补助资金对应中央直达资金管理，直达资金的标识为“01-中央直达资金”，“是否中央直达资金的地方对应安排”为“是”，贯穿资金分配、拨付、使用等整个环节，且保持不变。请教育部门要按照《关于提前部署做好2021年财政资金直达机制有关工作的通知》（财预便〔2020〕276号）要求，务必于收到本文件之日起的三十日内及时下达预算，并及时在指标管理系统中登录有关指标和直达资金标识，导入直达资金监控系统，确保系统录入数据与省级下达数据保持一致。</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四、请学校要做好全程预算绩效管理，切实加强资金管理，加快预算执行进度。涉及政府采购的，要按照政府采购</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WYMCStwAAAAP&#10;AQAADwAAAGRycy9kb3ducmV2LnhtbE2Py07DMBBF90j8gzVI7NpxgpqkIU4XSKxaqWoBiaUbD0nA&#10;jxA7bfl7nBXs5nF050y1uRrNzjT63lkByZIDI9s41dtWwOvL86IA5oO0SmpnScAPedjUtzeVLJW7&#10;2AOdj6FlMcT6UgroQhhKRN90ZKRfuoFs3H240cgQ27FFNcpLDDcaU84zNLK38UInB3rqqPk6TkYA&#10;7g9vO9xO38m73ptd+pngdtBC3N8l/BFYoGv4g2HWj+pQR6eTm6zyTAtY5Pkqi2ys1sVqDWxmMj7P&#10;TgLShyLJAesK//9R/wJQSwMEFAAAAAgAh07iQH4QChlWAgAA4wQAAA4AAABkcnMvZTJvRG9jLnht&#10;bK1US2/bMAy+D9h/EHRf/UjaZkGcImiRYlixFkiHHQtFlmIBeo1S4nS/fpTsvradtvkgkyL9kfxI&#10;enFxNJocBATlbEOrk5ISYblrld019Ov9+sOMkhCZbZl2VjT0UQR6sXz/btH7uahd53QrgCCIDfPe&#10;N7SL0c+LIvBOGBZOnBcWjdKBYRFV2BUtsB7RjS7qsjwregetB8dFCHh7NRjpMuNLKXi8lTKISHRD&#10;MbeYT8jnNp3FcsHmO2C+U3xMg/1FFoYpi0Gfoa5YZGQP6jcoozi44GQ84c4UTkrFRa4Bq6nKX6rZ&#10;dMyLXAuSE/wzTeH/wfIvhzsgqm3ohBLLDLbo8/XDpmsfJomb3oc5umz8HYxaQDEVepRg0htLIMfM&#10;5+Mzn+IYCcfL6rSqy7MaeedorKvJbFqfZc6LFwAPIV4LZ0gSGgrYsswkO9yEiEHR9cklxQtOq3at&#10;tM4K7LaXGsiBYXvX+Rm+1b5jw+1TuDC4Zrw3GNqSHlOtz8uUJ8MZlJpFFI1HVoLdUcL0DoebR8jg&#10;b74eYf8pg1TeFQvdAJLhh7k0KuJyaGUaOivTk66RD23xlVozNCNJW9c+YiPBDRMePF8rhL1hId4x&#10;wJHG4nBN4y0eUjus2I0SJZ2DH3+6T/44aWilpMcVQTa+7xkISvQnizP4sZpO005lZXp6nhoNry3b&#10;1xa7N5cO21ThD8HzLCb/qJ9ECc58w21epahoYpZj7IH3UbmMw+ri/4CL1Sq74R55Fm/sxvMEnsbC&#10;utU+Oqny+LywM5KGm5RZHLc+reprPXu9/Ju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gwJK&#10;3AAAAA8BAAAPAAAAAAAAAAEAIAAAACIAAABkcnMvZG93bnJldi54bWxQSwECFAAUAAAACACHTuJA&#10;fhAKGVYCAADjBAAADgAAAAAAAAABACAAAAArAQAAZHJzL2Uyb0RvYy54bWxQSwUGAAAAAAYABgBZ&#10;AQAA8wU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color w:val="000000"/>
          <w:sz w:val="32"/>
          <w:szCs w:val="32"/>
          <w:lang w:val="en-US" w:eastAsia="zh-CN"/>
        </w:rPr>
        <w:t>相关规定和程序办理。</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五、</w:t>
      </w:r>
      <w:r>
        <w:rPr>
          <w:rFonts w:hint="default" w:ascii="Times New Roman" w:hAnsi="Times New Roman" w:eastAsia="方正仿宋_GBK" w:cs="Times New Roman"/>
          <w:color w:val="000000"/>
          <w:sz w:val="32"/>
          <w:szCs w:val="32"/>
          <w:lang w:val="en-US" w:eastAsia="zh-CN"/>
        </w:rPr>
        <w:t>请单位收到文件后，于3日内在预算管理一体化系统中挂接项目，完成挂接项目后请电话通知行财股（3019051）。如未按时限挂接项目导致资金无法正常使用，由各单位自行负责。</w:t>
      </w:r>
    </w:p>
    <w:p>
      <w:pPr>
        <w:numPr>
          <w:ilvl w:val="0"/>
          <w:numId w:val="0"/>
        </w:numPr>
        <w:spacing w:beforeLines="0" w:afterLines="0"/>
        <w:jc w:val="left"/>
        <w:rPr>
          <w:rFonts w:hint="default" w:ascii="Times New Roman" w:hAnsi="Times New Roman" w:eastAsia="方正仿宋_GBK" w:cs="Times New Roman"/>
          <w:sz w:val="32"/>
          <w:szCs w:val="32"/>
          <w:lang w:val="en-US" w:eastAsia="zh-CN"/>
        </w:rPr>
      </w:pPr>
    </w:p>
    <w:p>
      <w:pPr>
        <w:numPr>
          <w:ilvl w:val="0"/>
          <w:numId w:val="0"/>
        </w:numPr>
        <w:spacing w:beforeLines="0" w:afterLines="0"/>
        <w:ind w:left="1598" w:leftChars="304" w:hanging="960" w:hangingChars="3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附件：2022年中等职业学生资助补助省级和州级资金分配表</w:t>
      </w:r>
    </w:p>
    <w:p>
      <w:pPr>
        <w:numPr>
          <w:ilvl w:val="0"/>
          <w:numId w:val="0"/>
        </w:numPr>
        <w:spacing w:beforeLines="0" w:afterLines="0"/>
        <w:ind w:left="1598" w:leftChars="304" w:hanging="960" w:hangingChars="300"/>
        <w:jc w:val="left"/>
        <w:rPr>
          <w:rFonts w:hint="default" w:ascii="Times New Roman" w:hAnsi="Times New Roman" w:eastAsia="方正仿宋_GBK" w:cs="Times New Roman"/>
          <w:sz w:val="32"/>
          <w:szCs w:val="32"/>
          <w:lang w:val="en-US" w:eastAsia="zh-CN"/>
        </w:rPr>
      </w:pPr>
    </w:p>
    <w:p>
      <w:pPr>
        <w:numPr>
          <w:ilvl w:val="0"/>
          <w:numId w:val="0"/>
        </w:numPr>
        <w:spacing w:beforeLines="0" w:afterLines="0"/>
        <w:ind w:left="1598" w:leftChars="304" w:hanging="960" w:hangingChars="300"/>
        <w:jc w:val="left"/>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440" w:firstLineChars="17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2022年10月21日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方正仿宋_GBK" w:cs="Times New Roman"/>
          <w:sz w:val="28"/>
          <w:szCs w:val="28"/>
          <w:lang w:val="en-US" w:eastAsia="zh-CN"/>
        </w:rPr>
        <w:sectPr>
          <w:footerReference r:id="rId3" w:type="default"/>
          <w:pgSz w:w="11906" w:h="16838"/>
          <w:pgMar w:top="1440" w:right="1803" w:bottom="1440" w:left="1803" w:header="851" w:footer="992" w:gutter="0"/>
          <w:cols w:space="0" w:num="1"/>
          <w:rtlGutter w:val="0"/>
          <w:docGrid w:type="lines" w:linePitch="324" w:charSpace="0"/>
        </w:sectPr>
      </w:pPr>
    </w:p>
    <w:p>
      <w:pPr>
        <w:tabs>
          <w:tab w:val="left" w:pos="769"/>
        </w:tabs>
        <w:bidi w:val="0"/>
        <w:jc w:val="left"/>
        <w:rPr>
          <w:lang w:val="en-US" w:eastAsia="zh-CN"/>
        </w:rPr>
      </w:pPr>
    </w:p>
    <w:p>
      <w:pPr>
        <w:tabs>
          <w:tab w:val="left" w:pos="769"/>
        </w:tabs>
        <w:bidi w:val="0"/>
        <w:jc w:val="left"/>
        <w:rPr>
          <w:lang w:val="en-US" w:eastAsia="zh-CN"/>
        </w:rPr>
      </w:pPr>
    </w:p>
    <w:tbl>
      <w:tblPr>
        <w:tblStyle w:val="7"/>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09"/>
        <w:gridCol w:w="411"/>
        <w:gridCol w:w="910"/>
        <w:gridCol w:w="1103"/>
        <w:gridCol w:w="913"/>
        <w:gridCol w:w="1074"/>
        <w:gridCol w:w="965"/>
        <w:gridCol w:w="925"/>
        <w:gridCol w:w="688"/>
        <w:gridCol w:w="937"/>
        <w:gridCol w:w="951"/>
        <w:gridCol w:w="663"/>
        <w:gridCol w:w="1678"/>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6" w:hRule="atLeast"/>
        </w:trPr>
        <w:tc>
          <w:tcPr>
            <w:tcW w:w="1509"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黑体_GBK" w:hAnsi="方正黑体_GBK" w:eastAsia="方正黑体_GBK" w:cs="方正黑体_GBK"/>
                <w:i w:val="0"/>
                <w:color w:val="000000"/>
                <w:sz w:val="21"/>
                <w:szCs w:val="21"/>
                <w:u w:val="none"/>
                <w:lang w:val="en-US"/>
              </w:rPr>
            </w:pPr>
            <w:r>
              <w:rPr>
                <w:rFonts w:hint="eastAsia" w:ascii="方正黑体_GBK" w:hAnsi="方正黑体_GBK" w:eastAsia="方正黑体_GBK" w:cs="方正黑体_GBK"/>
                <w:i w:val="0"/>
                <w:color w:val="000000"/>
                <w:kern w:val="0"/>
                <w:sz w:val="21"/>
                <w:szCs w:val="21"/>
                <w:u w:val="none"/>
                <w:lang w:val="en-US" w:eastAsia="zh-CN" w:bidi="ar"/>
              </w:rPr>
              <w:t>附件</w:t>
            </w:r>
          </w:p>
        </w:tc>
        <w:tc>
          <w:tcPr>
            <w:tcW w:w="4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3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6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67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53"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7" w:hRule="atLeast"/>
        </w:trPr>
        <w:tc>
          <w:tcPr>
            <w:tcW w:w="13980"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21"/>
                <w:szCs w:val="21"/>
                <w:u w:val="none"/>
              </w:rPr>
            </w:pPr>
            <w:r>
              <w:rPr>
                <w:rFonts w:hint="eastAsia" w:ascii="方正小标宋_GBK" w:hAnsi="方正小标宋_GBK" w:eastAsia="方正小标宋_GBK" w:cs="方正小标宋_GBK"/>
                <w:i w:val="0"/>
                <w:color w:val="000000"/>
                <w:kern w:val="0"/>
                <w:sz w:val="32"/>
                <w:szCs w:val="32"/>
                <w:u w:val="none"/>
                <w:lang w:val="en-US" w:eastAsia="zh-CN" w:bidi="ar"/>
              </w:rPr>
              <w:t>2022年中等职业学生资助补助省级和州级资金分配表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3" w:hRule="atLeast"/>
        </w:trPr>
        <w:tc>
          <w:tcPr>
            <w:tcW w:w="150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7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8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3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59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单位</w:t>
            </w:r>
          </w:p>
        </w:tc>
        <w:tc>
          <w:tcPr>
            <w:tcW w:w="292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助学金</w:t>
            </w:r>
          </w:p>
        </w:tc>
        <w:tc>
          <w:tcPr>
            <w:tcW w:w="29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免学费</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省政府奖学金</w:t>
            </w:r>
          </w:p>
        </w:tc>
        <w:tc>
          <w:tcPr>
            <w:tcW w:w="25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本次下达资金</w:t>
            </w:r>
          </w:p>
        </w:tc>
        <w:tc>
          <w:tcPr>
            <w:tcW w:w="2931"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48"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1"/>
                <w:szCs w:val="21"/>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省级资金（01-中央直达资金）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州级资金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县市资金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省级资金（01-中央直达资金）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州级资金</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县市资金</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省级资金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州级资金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小计</w:t>
            </w:r>
          </w:p>
        </w:tc>
        <w:tc>
          <w:tcPr>
            <w:tcW w:w="2931" w:type="dxa"/>
            <w:gridSpan w:val="2"/>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1"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default" w:ascii="Times New Roman" w:hAnsi="Times New Roman" w:eastAsia="仿宋_GB2312" w:cs="Times New Roman"/>
                <w:color w:val="000000"/>
                <w:sz w:val="21"/>
                <w:szCs w:val="21"/>
                <w:lang w:val="en-US" w:eastAsia="zh-CN"/>
              </w:rPr>
              <w:t>梁河县</w:t>
            </w:r>
            <w:r>
              <w:rPr>
                <w:rFonts w:hint="eastAsia" w:eastAsia="仿宋_GB2312" w:cs="Times New Roman"/>
                <w:color w:val="000000"/>
                <w:sz w:val="21"/>
                <w:szCs w:val="21"/>
                <w:lang w:val="en-US" w:eastAsia="zh-CN"/>
              </w:rPr>
              <w:t>职业高级中学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9.34 </w:t>
            </w:r>
          </w:p>
        </w:tc>
        <w:tc>
          <w:tcPr>
            <w:tcW w:w="1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0.82 </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0.82 </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13.66 </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1.20 </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1.20 </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0.40 </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23.40 </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2.02 </w:t>
            </w:r>
          </w:p>
        </w:tc>
        <w:tc>
          <w:tcPr>
            <w:tcW w:w="6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25.42 </w:t>
            </w:r>
          </w:p>
        </w:tc>
        <w:tc>
          <w:tcPr>
            <w:tcW w:w="293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rPr>
              <w:t>免学费和助学金为国家奖助学金省级配套资金，请在时限内完成分配并录入直达系统</w:t>
            </w:r>
          </w:p>
        </w:tc>
      </w:tr>
    </w:tbl>
    <w:p>
      <w:pPr>
        <w:tabs>
          <w:tab w:val="left" w:pos="769"/>
        </w:tabs>
        <w:bidi w:val="0"/>
        <w:jc w:val="left"/>
        <w:rPr>
          <w:lang w:val="en-US" w:eastAsia="zh-CN"/>
        </w:rPr>
      </w:pPr>
    </w:p>
    <w:p>
      <w:pPr>
        <w:bidi w:val="0"/>
        <w:jc w:val="left"/>
        <w:rPr>
          <w:lang w:val="en-US" w:eastAsia="zh-CN"/>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54E90EC-E95E-470D-B5A6-B3CD73629FD9}"/>
    <w:docVar w:name="DocumentName" w:val="在 14008 中的 WPS文档"/>
  </w:docVars>
  <w:rsids>
    <w:rsidRoot w:val="001105C7"/>
    <w:rsid w:val="000958C7"/>
    <w:rsid w:val="000B1D49"/>
    <w:rsid w:val="001105C7"/>
    <w:rsid w:val="00581DC1"/>
    <w:rsid w:val="00587320"/>
    <w:rsid w:val="005C60B4"/>
    <w:rsid w:val="00686E4A"/>
    <w:rsid w:val="007F382E"/>
    <w:rsid w:val="00B453F0"/>
    <w:rsid w:val="00B457C2"/>
    <w:rsid w:val="00D04398"/>
    <w:rsid w:val="025A3538"/>
    <w:rsid w:val="02E64AF3"/>
    <w:rsid w:val="030C7BB2"/>
    <w:rsid w:val="03777D04"/>
    <w:rsid w:val="03876761"/>
    <w:rsid w:val="03EB5C45"/>
    <w:rsid w:val="04EB2B5B"/>
    <w:rsid w:val="05016F8A"/>
    <w:rsid w:val="054C17DB"/>
    <w:rsid w:val="062B415B"/>
    <w:rsid w:val="07350C41"/>
    <w:rsid w:val="07652FCD"/>
    <w:rsid w:val="078A3AD6"/>
    <w:rsid w:val="07936FD5"/>
    <w:rsid w:val="07AB66FE"/>
    <w:rsid w:val="08373F91"/>
    <w:rsid w:val="093750C4"/>
    <w:rsid w:val="0A145A5B"/>
    <w:rsid w:val="0A5C4B7F"/>
    <w:rsid w:val="0A8A151F"/>
    <w:rsid w:val="0AE13C98"/>
    <w:rsid w:val="0B68662F"/>
    <w:rsid w:val="0B7F6BA2"/>
    <w:rsid w:val="0BB8332B"/>
    <w:rsid w:val="0C896E50"/>
    <w:rsid w:val="0CAA4371"/>
    <w:rsid w:val="0CF85329"/>
    <w:rsid w:val="0D0D5424"/>
    <w:rsid w:val="0D701CC8"/>
    <w:rsid w:val="0F2B4575"/>
    <w:rsid w:val="101C2B5A"/>
    <w:rsid w:val="10403FBA"/>
    <w:rsid w:val="10F775AA"/>
    <w:rsid w:val="118F65E6"/>
    <w:rsid w:val="12DB1CDC"/>
    <w:rsid w:val="1375543F"/>
    <w:rsid w:val="139423F1"/>
    <w:rsid w:val="143058D4"/>
    <w:rsid w:val="144C372E"/>
    <w:rsid w:val="145F0053"/>
    <w:rsid w:val="16645882"/>
    <w:rsid w:val="170A06F9"/>
    <w:rsid w:val="173E2E0A"/>
    <w:rsid w:val="1759030D"/>
    <w:rsid w:val="188E5471"/>
    <w:rsid w:val="19C03791"/>
    <w:rsid w:val="19D65BF8"/>
    <w:rsid w:val="1A3657E6"/>
    <w:rsid w:val="1A9D3BED"/>
    <w:rsid w:val="1B975099"/>
    <w:rsid w:val="1C653776"/>
    <w:rsid w:val="1C66308F"/>
    <w:rsid w:val="1C9435A9"/>
    <w:rsid w:val="1CC03F10"/>
    <w:rsid w:val="1D9D6455"/>
    <w:rsid w:val="1E007D9C"/>
    <w:rsid w:val="1F05595F"/>
    <w:rsid w:val="20212703"/>
    <w:rsid w:val="228853CC"/>
    <w:rsid w:val="243A6570"/>
    <w:rsid w:val="258951FD"/>
    <w:rsid w:val="25A3234B"/>
    <w:rsid w:val="25AE29BE"/>
    <w:rsid w:val="26546FED"/>
    <w:rsid w:val="2692140D"/>
    <w:rsid w:val="26CC47E9"/>
    <w:rsid w:val="26DF5843"/>
    <w:rsid w:val="271F484D"/>
    <w:rsid w:val="273638E1"/>
    <w:rsid w:val="273826C6"/>
    <w:rsid w:val="2812519E"/>
    <w:rsid w:val="284D3CDD"/>
    <w:rsid w:val="286013AA"/>
    <w:rsid w:val="289777AF"/>
    <w:rsid w:val="28F71692"/>
    <w:rsid w:val="2962339B"/>
    <w:rsid w:val="29BF2770"/>
    <w:rsid w:val="29BF50BD"/>
    <w:rsid w:val="2BCE709F"/>
    <w:rsid w:val="2C7F0227"/>
    <w:rsid w:val="2C9E0CBE"/>
    <w:rsid w:val="2D292055"/>
    <w:rsid w:val="2DD834E6"/>
    <w:rsid w:val="2E1B46E7"/>
    <w:rsid w:val="2EBF1D1C"/>
    <w:rsid w:val="3024263C"/>
    <w:rsid w:val="306B0028"/>
    <w:rsid w:val="32325FCB"/>
    <w:rsid w:val="337C31B4"/>
    <w:rsid w:val="33EC1336"/>
    <w:rsid w:val="33EE47D5"/>
    <w:rsid w:val="345E5C2D"/>
    <w:rsid w:val="353C6451"/>
    <w:rsid w:val="357500D3"/>
    <w:rsid w:val="35980E69"/>
    <w:rsid w:val="35E237CE"/>
    <w:rsid w:val="36782ACC"/>
    <w:rsid w:val="36CB4B68"/>
    <w:rsid w:val="378611D1"/>
    <w:rsid w:val="37940616"/>
    <w:rsid w:val="37C15267"/>
    <w:rsid w:val="37DC4BC7"/>
    <w:rsid w:val="38A0298A"/>
    <w:rsid w:val="39976ED0"/>
    <w:rsid w:val="39A81094"/>
    <w:rsid w:val="3B87072D"/>
    <w:rsid w:val="3B946AFE"/>
    <w:rsid w:val="3C2E2C7D"/>
    <w:rsid w:val="3C5948F1"/>
    <w:rsid w:val="3CCD7B66"/>
    <w:rsid w:val="3DEA18BE"/>
    <w:rsid w:val="3EAB00F5"/>
    <w:rsid w:val="3F05335A"/>
    <w:rsid w:val="3F6B0452"/>
    <w:rsid w:val="40086807"/>
    <w:rsid w:val="42D36300"/>
    <w:rsid w:val="42F6164E"/>
    <w:rsid w:val="43C72C45"/>
    <w:rsid w:val="44697238"/>
    <w:rsid w:val="44913DDE"/>
    <w:rsid w:val="454E1D16"/>
    <w:rsid w:val="4667139F"/>
    <w:rsid w:val="47A11159"/>
    <w:rsid w:val="47CA7313"/>
    <w:rsid w:val="48916310"/>
    <w:rsid w:val="4935595E"/>
    <w:rsid w:val="49BA492F"/>
    <w:rsid w:val="49E26ECA"/>
    <w:rsid w:val="49ED0EB5"/>
    <w:rsid w:val="4A2232B0"/>
    <w:rsid w:val="4A8344AA"/>
    <w:rsid w:val="4C0C4193"/>
    <w:rsid w:val="4DA65C8C"/>
    <w:rsid w:val="4E4D220D"/>
    <w:rsid w:val="4E864888"/>
    <w:rsid w:val="4F01731A"/>
    <w:rsid w:val="4F3E0DB7"/>
    <w:rsid w:val="4F476A2C"/>
    <w:rsid w:val="4F5F7E37"/>
    <w:rsid w:val="4FE3535E"/>
    <w:rsid w:val="51487743"/>
    <w:rsid w:val="523913F3"/>
    <w:rsid w:val="52B629D7"/>
    <w:rsid w:val="54160E0B"/>
    <w:rsid w:val="55016EC4"/>
    <w:rsid w:val="551572DA"/>
    <w:rsid w:val="55234A6D"/>
    <w:rsid w:val="56C276A8"/>
    <w:rsid w:val="56C47DEA"/>
    <w:rsid w:val="573D2213"/>
    <w:rsid w:val="574E52FC"/>
    <w:rsid w:val="58182572"/>
    <w:rsid w:val="58B8389E"/>
    <w:rsid w:val="59645F2C"/>
    <w:rsid w:val="5B4169AB"/>
    <w:rsid w:val="5B6C0D36"/>
    <w:rsid w:val="5BFB1A7A"/>
    <w:rsid w:val="5E465FBF"/>
    <w:rsid w:val="5F182F75"/>
    <w:rsid w:val="605A5A2A"/>
    <w:rsid w:val="60B93759"/>
    <w:rsid w:val="62077D98"/>
    <w:rsid w:val="625A7CAF"/>
    <w:rsid w:val="64425FC4"/>
    <w:rsid w:val="647B685A"/>
    <w:rsid w:val="656C2781"/>
    <w:rsid w:val="65C57B6F"/>
    <w:rsid w:val="666A3674"/>
    <w:rsid w:val="66A90ADC"/>
    <w:rsid w:val="686C5E7D"/>
    <w:rsid w:val="689D35F1"/>
    <w:rsid w:val="68CB510F"/>
    <w:rsid w:val="691F1303"/>
    <w:rsid w:val="69FB016C"/>
    <w:rsid w:val="6AED5818"/>
    <w:rsid w:val="6BC22220"/>
    <w:rsid w:val="6D833B9E"/>
    <w:rsid w:val="6D9E49FF"/>
    <w:rsid w:val="6E17486A"/>
    <w:rsid w:val="6FA43DB3"/>
    <w:rsid w:val="6FB210AD"/>
    <w:rsid w:val="704F395C"/>
    <w:rsid w:val="70525A8F"/>
    <w:rsid w:val="708E2E66"/>
    <w:rsid w:val="709C1B5B"/>
    <w:rsid w:val="70CD1B90"/>
    <w:rsid w:val="71697D5A"/>
    <w:rsid w:val="71A51894"/>
    <w:rsid w:val="71C95CAC"/>
    <w:rsid w:val="71EB0A02"/>
    <w:rsid w:val="72530193"/>
    <w:rsid w:val="72C7118F"/>
    <w:rsid w:val="733E30C6"/>
    <w:rsid w:val="73BF6F29"/>
    <w:rsid w:val="73D03F14"/>
    <w:rsid w:val="747D2A1A"/>
    <w:rsid w:val="74CE31EE"/>
    <w:rsid w:val="751A1EB5"/>
    <w:rsid w:val="765D1DCE"/>
    <w:rsid w:val="773C2F90"/>
    <w:rsid w:val="77B60445"/>
    <w:rsid w:val="78931718"/>
    <w:rsid w:val="79C30B64"/>
    <w:rsid w:val="79CF213E"/>
    <w:rsid w:val="79FE32D3"/>
    <w:rsid w:val="7A2E49AD"/>
    <w:rsid w:val="7A456245"/>
    <w:rsid w:val="7BCD5A7E"/>
    <w:rsid w:val="7C14307F"/>
    <w:rsid w:val="7D4A0BD9"/>
    <w:rsid w:val="7D725522"/>
    <w:rsid w:val="7DF047C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61"/>
    <w:basedOn w:val="5"/>
    <w:qFormat/>
    <w:uiPriority w:val="0"/>
    <w:rPr>
      <w:rFonts w:ascii="Arial" w:hAnsi="Arial" w:cs="Arial"/>
      <w:b/>
      <w:color w:val="000000"/>
      <w:sz w:val="24"/>
      <w:szCs w:val="24"/>
      <w:u w:val="none"/>
    </w:rPr>
  </w:style>
  <w:style w:type="character" w:customStyle="1" w:styleId="10">
    <w:name w:val="font122"/>
    <w:basedOn w:val="5"/>
    <w:qFormat/>
    <w:uiPriority w:val="0"/>
    <w:rPr>
      <w:rFonts w:hint="eastAsia" w:ascii="仿宋_GB2312" w:eastAsia="仿宋_GB2312" w:cs="仿宋_GB2312"/>
      <w:b/>
      <w:color w:val="000000"/>
      <w:sz w:val="24"/>
      <w:szCs w:val="24"/>
      <w:u w:val="none"/>
    </w:rPr>
  </w:style>
  <w:style w:type="character" w:customStyle="1" w:styleId="11">
    <w:name w:val="font01"/>
    <w:basedOn w:val="5"/>
    <w:qFormat/>
    <w:uiPriority w:val="0"/>
    <w:rPr>
      <w:rFonts w:ascii="方正仿宋_GBK" w:hAnsi="方正仿宋_GBK" w:eastAsia="方正仿宋_GBK" w:cs="方正仿宋_GBK"/>
      <w:color w:val="000000"/>
      <w:sz w:val="22"/>
      <w:szCs w:val="22"/>
      <w:u w:val="none"/>
    </w:rPr>
  </w:style>
  <w:style w:type="character" w:customStyle="1" w:styleId="12">
    <w:name w:val="font31"/>
    <w:basedOn w:val="5"/>
    <w:qFormat/>
    <w:uiPriority w:val="0"/>
    <w:rPr>
      <w:rFonts w:hint="default" w:ascii="Times New Roman" w:hAnsi="Times New Roman" w:cs="Times New Roman"/>
      <w:color w:val="000000"/>
      <w:sz w:val="22"/>
      <w:szCs w:val="22"/>
      <w:u w:val="none"/>
    </w:rPr>
  </w:style>
  <w:style w:type="character" w:customStyle="1" w:styleId="13">
    <w:name w:val="font81"/>
    <w:basedOn w:val="5"/>
    <w:uiPriority w:val="0"/>
    <w:rPr>
      <w:rFonts w:hint="eastAsia" w:ascii="方正仿宋_GBK" w:hAnsi="方正仿宋_GBK" w:eastAsia="方正仿宋_GBK" w:cs="方正仿宋_GBK"/>
      <w:b/>
      <w:color w:val="000000"/>
      <w:sz w:val="28"/>
      <w:szCs w:val="28"/>
      <w:u w:val="none"/>
    </w:rPr>
  </w:style>
  <w:style w:type="character" w:customStyle="1" w:styleId="14">
    <w:name w:val="font21"/>
    <w:basedOn w:val="5"/>
    <w:qFormat/>
    <w:uiPriority w:val="0"/>
    <w:rPr>
      <w:rFonts w:hint="default" w:ascii="Times New Roman" w:hAnsi="Times New Roman" w:cs="Times New Roman"/>
      <w:b/>
      <w:color w:val="000000"/>
      <w:sz w:val="28"/>
      <w:szCs w:val="28"/>
      <w:u w:val="none"/>
    </w:rPr>
  </w:style>
  <w:style w:type="character" w:customStyle="1" w:styleId="15">
    <w:name w:val="font11"/>
    <w:basedOn w:val="5"/>
    <w:uiPriority w:val="0"/>
    <w:rPr>
      <w:rFonts w:hint="eastAsia" w:ascii="方正仿宋_GBK" w:hAnsi="方正仿宋_GBK" w:eastAsia="方正仿宋_GBK" w:cs="方正仿宋_GBK"/>
      <w:color w:val="000000"/>
      <w:sz w:val="22"/>
      <w:szCs w:val="22"/>
      <w:u w:val="none"/>
    </w:rPr>
  </w:style>
  <w:style w:type="character" w:customStyle="1" w:styleId="16">
    <w:name w:val="font51"/>
    <w:basedOn w:val="5"/>
    <w:uiPriority w:val="0"/>
    <w:rPr>
      <w:rFonts w:hint="eastAsia" w:ascii="宋体" w:hAnsi="宋体" w:eastAsia="宋体" w:cs="宋体"/>
      <w:color w:val="000000"/>
      <w:sz w:val="22"/>
      <w:szCs w:val="22"/>
      <w:u w:val="none"/>
    </w:rPr>
  </w:style>
  <w:style w:type="character" w:customStyle="1" w:styleId="17">
    <w:name w:val="font101"/>
    <w:basedOn w:val="5"/>
    <w:qFormat/>
    <w:uiPriority w:val="0"/>
    <w:rPr>
      <w:rFonts w:hint="eastAsia" w:ascii="方正仿宋_GBK" w:hAnsi="方正仿宋_GBK" w:eastAsia="方正仿宋_GBK" w:cs="方正仿宋_GBK"/>
      <w:b/>
      <w:color w:val="000000"/>
      <w:sz w:val="24"/>
      <w:szCs w:val="24"/>
      <w:u w:val="none"/>
    </w:rPr>
  </w:style>
  <w:style w:type="character" w:customStyle="1" w:styleId="18">
    <w:name w:val="font121"/>
    <w:basedOn w:val="5"/>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DELL</dc:creator>
  <cp:lastModifiedBy>DELL</cp:lastModifiedBy>
  <cp:lastPrinted>2022-10-21T09:15:00Z</cp:lastPrinted>
  <dcterms:modified xsi:type="dcterms:W3CDTF">2026-04-01T01:30:38Z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