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2E" w:rsidRDefault="009723F2">
      <w:pPr>
        <w:spacing w:line="600" w:lineRule="exact"/>
        <w:jc w:val="center"/>
        <w:rPr>
          <w:rFonts w:ascii="Times New Roman" w:eastAsia="Times New Roman" w:hAnsi="Times New Roman"/>
          <w:sz w:val="36"/>
        </w:rPr>
      </w:pPr>
      <w:r>
        <w:rPr>
          <w:rFonts w:ascii="方正小标宋简体" w:eastAsia="方正小标宋简体" w:hAnsi="方正小标宋简体" w:hint="eastAsia"/>
          <w:sz w:val="36"/>
        </w:rPr>
        <w:t>德宏州梁河县</w:t>
      </w:r>
      <w:r w:rsidR="00D62C31">
        <w:rPr>
          <w:rFonts w:ascii="方正小标宋简体" w:eastAsia="方正小标宋简体" w:hAnsi="方正小标宋简体" w:hint="eastAsia"/>
          <w:sz w:val="36"/>
        </w:rPr>
        <w:t>大厂乡</w:t>
      </w:r>
      <w:r>
        <w:rPr>
          <w:rFonts w:ascii="方正小标宋简体" w:eastAsia="方正小标宋简体" w:hAnsi="方正小标宋简体" w:hint="eastAsia"/>
          <w:sz w:val="36"/>
        </w:rPr>
        <w:t>部门2019年度部门决算</w:t>
      </w:r>
    </w:p>
    <w:p w:rsidR="00B0252E" w:rsidRDefault="00B0252E">
      <w:pPr>
        <w:spacing w:line="600" w:lineRule="exact"/>
        <w:jc w:val="center"/>
        <w:rPr>
          <w:rFonts w:ascii="Times New Roman" w:eastAsia="Times New Roman" w:hAnsi="Times New Roman"/>
          <w:sz w:val="36"/>
        </w:rPr>
      </w:pPr>
    </w:p>
    <w:p w:rsidR="00B0252E" w:rsidRDefault="009723F2">
      <w:pPr>
        <w:spacing w:line="600" w:lineRule="exact"/>
        <w:jc w:val="center"/>
        <w:rPr>
          <w:rFonts w:ascii="Times New Roman" w:eastAsia="Times New Roman" w:hAnsi="Times New Roman"/>
          <w:sz w:val="36"/>
        </w:rPr>
      </w:pPr>
      <w:r>
        <w:rPr>
          <w:rFonts w:ascii="黑体" w:eastAsia="黑体" w:hAnsi="黑体" w:hint="eastAsia"/>
          <w:sz w:val="36"/>
        </w:rPr>
        <w:t>目录</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第一部分  德宏州梁河县</w:t>
      </w:r>
      <w:r w:rsidR="00D62C31">
        <w:rPr>
          <w:rFonts w:ascii="黑体" w:eastAsia="黑体" w:hAnsi="黑体" w:hint="eastAsia"/>
          <w:sz w:val="30"/>
        </w:rPr>
        <w:t>大厂</w:t>
      </w:r>
      <w:r>
        <w:rPr>
          <w:rFonts w:ascii="黑体" w:eastAsia="黑体" w:hAnsi="黑体" w:hint="eastAsia"/>
          <w:sz w:val="30"/>
        </w:rPr>
        <w:t>乡概况</w:t>
      </w:r>
    </w:p>
    <w:p w:rsidR="00B0252E" w:rsidRDefault="009723F2">
      <w:pPr>
        <w:spacing w:line="600" w:lineRule="exact"/>
        <w:jc w:val="left"/>
        <w:rPr>
          <w:rFonts w:ascii="Times New Roman" w:eastAsia="Times New Roman" w:hAnsi="Times New Roman"/>
          <w:sz w:val="30"/>
        </w:rPr>
      </w:pPr>
      <w:r>
        <w:rPr>
          <w:rFonts w:ascii="楷体" w:eastAsia="楷体" w:hAnsi="楷体" w:hint="eastAsia"/>
          <w:sz w:val="30"/>
        </w:rPr>
        <w:t xml:space="preserve">   一、主要职能</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w:t>
      </w:r>
      <w:r>
        <w:rPr>
          <w:rFonts w:ascii="楷体" w:eastAsia="楷体" w:hAnsi="楷体" w:hint="eastAsia"/>
          <w:sz w:val="30"/>
        </w:rPr>
        <w:t>二、部门基本情况</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第二部分  2019年度部门决算表</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w:t>
      </w:r>
      <w:r>
        <w:rPr>
          <w:rFonts w:ascii="楷体" w:eastAsia="楷体" w:hAnsi="楷体" w:hint="eastAsia"/>
          <w:sz w:val="30"/>
        </w:rPr>
        <w:t>一、收入支出决算总表</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w:t>
      </w:r>
      <w:r>
        <w:rPr>
          <w:rFonts w:ascii="楷体" w:eastAsia="楷体" w:hAnsi="楷体" w:hint="eastAsia"/>
          <w:sz w:val="30"/>
        </w:rPr>
        <w:t>二、收入决算表</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w:t>
      </w:r>
      <w:r>
        <w:rPr>
          <w:rFonts w:ascii="楷体" w:eastAsia="楷体" w:hAnsi="楷体" w:hint="eastAsia"/>
          <w:sz w:val="30"/>
        </w:rPr>
        <w:t>三、支出决算表</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w:t>
      </w:r>
      <w:r>
        <w:rPr>
          <w:rFonts w:ascii="楷体" w:eastAsia="楷体" w:hAnsi="楷体" w:hint="eastAsia"/>
          <w:sz w:val="30"/>
        </w:rPr>
        <w:t>四、财政拨款收入支出决算总表</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w:t>
      </w:r>
      <w:r>
        <w:rPr>
          <w:rFonts w:ascii="楷体" w:eastAsia="楷体" w:hAnsi="楷体" w:hint="eastAsia"/>
          <w:sz w:val="30"/>
        </w:rPr>
        <w:t>五、一般公共预算财政拨款收入支出决算表</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w:t>
      </w:r>
      <w:r>
        <w:rPr>
          <w:rFonts w:ascii="楷体" w:eastAsia="楷体" w:hAnsi="楷体" w:hint="eastAsia"/>
          <w:sz w:val="30"/>
        </w:rPr>
        <w:t>六、一般公共预算财政拨款基本支出决算表</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w:t>
      </w:r>
      <w:r>
        <w:rPr>
          <w:rFonts w:ascii="楷体" w:eastAsia="楷体" w:hAnsi="楷体" w:hint="eastAsia"/>
          <w:sz w:val="30"/>
        </w:rPr>
        <w:t>七、政府性基金预算财政拨款收入支出决算表</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w:t>
      </w:r>
      <w:r>
        <w:rPr>
          <w:rFonts w:ascii="楷体" w:eastAsia="楷体" w:hAnsi="楷体" w:hint="eastAsia"/>
          <w:sz w:val="30"/>
        </w:rPr>
        <w:t>八、</w:t>
      </w:r>
      <w:r>
        <w:rPr>
          <w:rFonts w:ascii="Times New Roman" w:eastAsia="Times New Roman" w:hAnsi="Times New Roman"/>
          <w:sz w:val="30"/>
        </w:rPr>
        <w:t>“</w:t>
      </w:r>
      <w:r>
        <w:rPr>
          <w:rFonts w:ascii="楷体" w:eastAsia="楷体" w:hAnsi="楷体" w:hint="eastAsia"/>
          <w:sz w:val="30"/>
        </w:rPr>
        <w:t>三公</w:t>
      </w:r>
      <w:r>
        <w:rPr>
          <w:rFonts w:ascii="Times New Roman" w:eastAsia="Times New Roman" w:hAnsi="Times New Roman"/>
          <w:sz w:val="30"/>
        </w:rPr>
        <w:t>”</w:t>
      </w:r>
      <w:r>
        <w:rPr>
          <w:rFonts w:ascii="楷体" w:eastAsia="楷体" w:hAnsi="楷体" w:hint="eastAsia"/>
          <w:sz w:val="30"/>
        </w:rPr>
        <w:t>经费、行政参公单位机关运行经费情况表</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第三部分  2019年度部门决算情况说明</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w:t>
      </w:r>
      <w:r>
        <w:rPr>
          <w:rFonts w:ascii="楷体" w:eastAsia="楷体" w:hAnsi="楷体" w:hint="eastAsia"/>
          <w:sz w:val="30"/>
        </w:rPr>
        <w:t>一、收入决算情况说明</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w:t>
      </w:r>
      <w:r>
        <w:rPr>
          <w:rFonts w:ascii="楷体" w:eastAsia="楷体" w:hAnsi="楷体" w:hint="eastAsia"/>
          <w:sz w:val="30"/>
        </w:rPr>
        <w:t>二、支出决算情况说明</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w:t>
      </w:r>
      <w:r>
        <w:rPr>
          <w:rFonts w:ascii="楷体" w:eastAsia="楷体" w:hAnsi="楷体" w:hint="eastAsia"/>
          <w:sz w:val="30"/>
        </w:rPr>
        <w:t>三、一般公共预算财政拨款支出决算情况说明</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w:t>
      </w:r>
      <w:r>
        <w:rPr>
          <w:rFonts w:ascii="楷体" w:eastAsia="楷体" w:hAnsi="楷体" w:hint="eastAsia"/>
          <w:sz w:val="30"/>
        </w:rPr>
        <w:t>四、一般公共预算财政拨款</w:t>
      </w:r>
      <w:r>
        <w:rPr>
          <w:rFonts w:ascii="Times New Roman" w:eastAsia="Times New Roman" w:hAnsi="Times New Roman"/>
          <w:sz w:val="30"/>
        </w:rPr>
        <w:t>“</w:t>
      </w:r>
      <w:r>
        <w:rPr>
          <w:rFonts w:ascii="楷体" w:eastAsia="楷体" w:hAnsi="楷体" w:hint="eastAsia"/>
          <w:sz w:val="30"/>
        </w:rPr>
        <w:t>三公</w:t>
      </w:r>
      <w:r>
        <w:rPr>
          <w:rFonts w:ascii="Times New Roman" w:eastAsia="Times New Roman" w:hAnsi="Times New Roman"/>
          <w:sz w:val="30"/>
        </w:rPr>
        <w:t>”</w:t>
      </w:r>
      <w:r>
        <w:rPr>
          <w:rFonts w:ascii="楷体" w:eastAsia="楷体" w:hAnsi="楷体" w:hint="eastAsia"/>
          <w:sz w:val="30"/>
        </w:rPr>
        <w:t>经费支出决算情况说明</w:t>
      </w:r>
    </w:p>
    <w:p w:rsidR="00B0252E" w:rsidRDefault="009723F2">
      <w:pPr>
        <w:spacing w:line="600" w:lineRule="exact"/>
        <w:jc w:val="left"/>
        <w:rPr>
          <w:rFonts w:ascii="Times New Roman" w:eastAsia="Times New Roman" w:hAnsi="Times New Roman"/>
          <w:sz w:val="30"/>
        </w:rPr>
      </w:pPr>
      <w:r>
        <w:rPr>
          <w:rFonts w:ascii="黑体" w:eastAsia="黑体" w:hAnsi="黑体" w:hint="eastAsia"/>
          <w:sz w:val="30"/>
        </w:rPr>
        <w:t xml:space="preserve">   第四部分  其他重要事项及相关口径情况说明</w:t>
      </w:r>
    </w:p>
    <w:p w:rsidR="00B0252E" w:rsidRDefault="009723F2">
      <w:pPr>
        <w:spacing w:line="600" w:lineRule="exact"/>
        <w:jc w:val="left"/>
        <w:rPr>
          <w:rFonts w:ascii="Times New Roman" w:eastAsia="Times New Roman" w:hAnsi="Times New Roman"/>
          <w:sz w:val="30"/>
        </w:rPr>
      </w:pPr>
      <w:r>
        <w:rPr>
          <w:rFonts w:ascii="楷体" w:eastAsia="楷体" w:hAnsi="楷体" w:hint="eastAsia"/>
          <w:sz w:val="30"/>
        </w:rPr>
        <w:lastRenderedPageBreak/>
        <w:t xml:space="preserve">   一、机关运行经费支出情况</w:t>
      </w:r>
    </w:p>
    <w:p w:rsidR="00B0252E" w:rsidRDefault="009723F2">
      <w:pPr>
        <w:spacing w:line="600" w:lineRule="exact"/>
        <w:jc w:val="left"/>
        <w:rPr>
          <w:rFonts w:ascii="Times New Roman" w:eastAsia="Times New Roman" w:hAnsi="Times New Roman"/>
          <w:sz w:val="30"/>
        </w:rPr>
      </w:pPr>
      <w:r>
        <w:rPr>
          <w:rFonts w:ascii="楷体" w:eastAsia="楷体" w:hAnsi="楷体" w:hint="eastAsia"/>
          <w:sz w:val="30"/>
        </w:rPr>
        <w:t xml:space="preserve">   二、国有资产占有情况</w:t>
      </w:r>
    </w:p>
    <w:p w:rsidR="00B0252E" w:rsidRDefault="009723F2">
      <w:pPr>
        <w:spacing w:line="600" w:lineRule="exact"/>
        <w:jc w:val="left"/>
        <w:rPr>
          <w:rFonts w:ascii="Times New Roman" w:eastAsia="Times New Roman" w:hAnsi="Times New Roman"/>
          <w:sz w:val="30"/>
        </w:rPr>
      </w:pPr>
      <w:r>
        <w:rPr>
          <w:rFonts w:ascii="楷体" w:eastAsia="楷体" w:hAnsi="楷体" w:hint="eastAsia"/>
          <w:sz w:val="30"/>
        </w:rPr>
        <w:t xml:space="preserve">   三、政府采购支出情况</w:t>
      </w:r>
    </w:p>
    <w:p w:rsidR="00B0252E" w:rsidRDefault="009723F2">
      <w:pPr>
        <w:spacing w:line="600" w:lineRule="exact"/>
        <w:jc w:val="left"/>
        <w:rPr>
          <w:rFonts w:ascii="Times New Roman" w:eastAsia="Times New Roman" w:hAnsi="Times New Roman"/>
          <w:sz w:val="30"/>
        </w:rPr>
      </w:pPr>
      <w:r>
        <w:rPr>
          <w:rFonts w:ascii="楷体" w:eastAsia="楷体" w:hAnsi="楷体" w:hint="eastAsia"/>
          <w:sz w:val="30"/>
        </w:rPr>
        <w:t xml:space="preserve">   四、部门绩效自评情况</w:t>
      </w:r>
    </w:p>
    <w:p w:rsidR="00B0252E" w:rsidRDefault="009723F2">
      <w:pPr>
        <w:spacing w:line="600" w:lineRule="exact"/>
        <w:jc w:val="left"/>
        <w:rPr>
          <w:rFonts w:ascii="Times New Roman" w:eastAsia="Times New Roman" w:hAnsi="Times New Roman"/>
          <w:sz w:val="30"/>
        </w:rPr>
      </w:pPr>
      <w:r>
        <w:rPr>
          <w:rFonts w:ascii="楷体" w:eastAsia="楷体" w:hAnsi="楷体" w:hint="eastAsia"/>
          <w:sz w:val="30"/>
        </w:rPr>
        <w:t xml:space="preserve">   （一）项目支出绩效自评/项目支出绩效自评报告（表）</w:t>
      </w:r>
    </w:p>
    <w:p w:rsidR="00B0252E" w:rsidRDefault="009723F2">
      <w:pPr>
        <w:spacing w:line="600" w:lineRule="exact"/>
        <w:jc w:val="left"/>
        <w:rPr>
          <w:rFonts w:ascii="Times New Roman" w:eastAsia="Times New Roman" w:hAnsi="Times New Roman"/>
          <w:sz w:val="30"/>
        </w:rPr>
      </w:pPr>
      <w:r>
        <w:rPr>
          <w:rFonts w:ascii="楷体" w:eastAsia="楷体" w:hAnsi="楷体" w:hint="eastAsia"/>
          <w:sz w:val="30"/>
        </w:rPr>
        <w:t xml:space="preserve">   （二）部门整体支出绩效自评报告</w:t>
      </w:r>
    </w:p>
    <w:p w:rsidR="00B0252E" w:rsidRDefault="009723F2">
      <w:pPr>
        <w:spacing w:line="600" w:lineRule="exact"/>
        <w:jc w:val="left"/>
        <w:rPr>
          <w:rFonts w:ascii="Times New Roman" w:eastAsia="Times New Roman" w:hAnsi="Times New Roman"/>
          <w:sz w:val="30"/>
        </w:rPr>
      </w:pPr>
      <w:r>
        <w:rPr>
          <w:rFonts w:ascii="楷体" w:eastAsia="楷体" w:hAnsi="楷体" w:hint="eastAsia"/>
          <w:sz w:val="30"/>
        </w:rPr>
        <w:t xml:space="preserve">   （三）部门整体支出绩效自评表</w:t>
      </w:r>
    </w:p>
    <w:p w:rsidR="00B0252E" w:rsidRDefault="009723F2">
      <w:pPr>
        <w:spacing w:line="600" w:lineRule="exact"/>
        <w:jc w:val="left"/>
        <w:rPr>
          <w:rFonts w:ascii="Times New Roman" w:eastAsia="Times New Roman" w:hAnsi="Times New Roman"/>
          <w:sz w:val="30"/>
        </w:rPr>
      </w:pPr>
      <w:r>
        <w:rPr>
          <w:rFonts w:ascii="楷体" w:eastAsia="楷体" w:hAnsi="楷体" w:hint="eastAsia"/>
          <w:sz w:val="30"/>
        </w:rPr>
        <w:t xml:space="preserve">   五、其他重要事项情况说明</w:t>
      </w:r>
    </w:p>
    <w:p w:rsidR="00B0252E" w:rsidRDefault="009723F2">
      <w:pPr>
        <w:spacing w:line="600" w:lineRule="exact"/>
        <w:jc w:val="left"/>
        <w:rPr>
          <w:rFonts w:ascii="Times New Roman" w:eastAsia="Times New Roman" w:hAnsi="Times New Roman"/>
          <w:sz w:val="30"/>
        </w:rPr>
      </w:pPr>
      <w:r>
        <w:rPr>
          <w:rFonts w:ascii="楷体" w:eastAsia="楷体" w:hAnsi="楷体" w:hint="eastAsia"/>
          <w:sz w:val="30"/>
        </w:rPr>
        <w:t xml:space="preserve">   六、相关口径说明</w:t>
      </w:r>
    </w:p>
    <w:p w:rsidR="00B0252E" w:rsidRDefault="009723F2">
      <w:pPr>
        <w:spacing w:line="600" w:lineRule="exact"/>
        <w:jc w:val="left"/>
        <w:rPr>
          <w:rFonts w:ascii="Times New Roman" w:eastAsia="Times New Roman" w:hAnsi="Times New Roman"/>
          <w:sz w:val="30"/>
        </w:rPr>
      </w:pPr>
      <w:r>
        <w:rPr>
          <w:rFonts w:ascii="楷体" w:eastAsia="楷体" w:hAnsi="楷体" w:hint="eastAsia"/>
          <w:sz w:val="30"/>
        </w:rPr>
        <w:t xml:space="preserve">   </w:t>
      </w:r>
      <w:r>
        <w:rPr>
          <w:rFonts w:ascii="黑体" w:eastAsia="黑体" w:hAnsi="黑体" w:hint="eastAsia"/>
          <w:sz w:val="30"/>
        </w:rPr>
        <w:t>第五部分  名词解释</w:t>
      </w:r>
    </w:p>
    <w:p w:rsidR="00B0252E" w:rsidRDefault="00B0252E">
      <w:pPr>
        <w:spacing w:line="600" w:lineRule="exact"/>
        <w:jc w:val="left"/>
        <w:rPr>
          <w:rFonts w:ascii="Times New Roman" w:eastAsia="Times New Roman" w:hAnsi="Times New Roman"/>
          <w:sz w:val="30"/>
        </w:rPr>
      </w:pPr>
    </w:p>
    <w:p w:rsidR="00B0252E" w:rsidRDefault="00B0252E">
      <w:pPr>
        <w:spacing w:line="600" w:lineRule="exact"/>
        <w:jc w:val="left"/>
        <w:rPr>
          <w:rFonts w:ascii="Times New Roman" w:eastAsia="Times New Roman" w:hAnsi="Times New Roman"/>
          <w:sz w:val="30"/>
        </w:rPr>
      </w:pPr>
    </w:p>
    <w:p w:rsidR="00B0252E" w:rsidRDefault="00B0252E">
      <w:pPr>
        <w:spacing w:line="600" w:lineRule="exact"/>
        <w:jc w:val="left"/>
        <w:rPr>
          <w:rFonts w:ascii="Times New Roman" w:eastAsia="Times New Roman" w:hAnsi="Times New Roman"/>
          <w:sz w:val="30"/>
        </w:rPr>
      </w:pPr>
    </w:p>
    <w:p w:rsidR="00B0252E" w:rsidRDefault="00B0252E">
      <w:pPr>
        <w:spacing w:line="600" w:lineRule="exact"/>
        <w:jc w:val="left"/>
        <w:rPr>
          <w:rFonts w:ascii="Times New Roman" w:eastAsia="Times New Roman" w:hAnsi="Times New Roman"/>
          <w:sz w:val="30"/>
        </w:rPr>
      </w:pPr>
    </w:p>
    <w:p w:rsidR="00B0252E" w:rsidRDefault="00B0252E">
      <w:pPr>
        <w:spacing w:line="600" w:lineRule="exact"/>
        <w:jc w:val="left"/>
        <w:rPr>
          <w:rFonts w:ascii="Times New Roman" w:eastAsia="Times New Roman" w:hAnsi="Times New Roman"/>
          <w:sz w:val="30"/>
        </w:rPr>
      </w:pPr>
    </w:p>
    <w:p w:rsidR="00B0252E" w:rsidRDefault="00B0252E">
      <w:pPr>
        <w:spacing w:line="600" w:lineRule="exact"/>
        <w:jc w:val="left"/>
        <w:rPr>
          <w:rFonts w:ascii="Times New Roman" w:eastAsia="Times New Roman" w:hAnsi="Times New Roman"/>
          <w:sz w:val="30"/>
        </w:rPr>
      </w:pPr>
    </w:p>
    <w:p w:rsidR="00B0252E" w:rsidRDefault="00B0252E">
      <w:pPr>
        <w:spacing w:line="600" w:lineRule="exact"/>
        <w:jc w:val="left"/>
        <w:rPr>
          <w:rFonts w:ascii="Times New Roman" w:eastAsia="Times New Roman" w:hAnsi="Times New Roman"/>
          <w:sz w:val="30"/>
        </w:rPr>
      </w:pPr>
    </w:p>
    <w:p w:rsidR="00B0252E" w:rsidRDefault="00B0252E">
      <w:pPr>
        <w:spacing w:line="600" w:lineRule="exact"/>
        <w:jc w:val="left"/>
        <w:rPr>
          <w:rFonts w:ascii="Times New Roman" w:eastAsia="Times New Roman" w:hAnsi="Times New Roman"/>
          <w:sz w:val="30"/>
        </w:rPr>
      </w:pPr>
    </w:p>
    <w:p w:rsidR="00B0252E" w:rsidRDefault="00B0252E">
      <w:pPr>
        <w:spacing w:line="600" w:lineRule="exact"/>
        <w:jc w:val="left"/>
        <w:rPr>
          <w:rFonts w:ascii="Times New Roman" w:eastAsia="Times New Roman" w:hAnsi="Times New Roman"/>
          <w:sz w:val="30"/>
        </w:rPr>
      </w:pPr>
    </w:p>
    <w:p w:rsidR="00B0252E" w:rsidRDefault="00B0252E">
      <w:pPr>
        <w:spacing w:line="600" w:lineRule="exact"/>
        <w:jc w:val="left"/>
        <w:rPr>
          <w:rFonts w:ascii="Times New Roman" w:eastAsia="Times New Roman" w:hAnsi="Times New Roman"/>
          <w:sz w:val="30"/>
        </w:rPr>
      </w:pPr>
    </w:p>
    <w:p w:rsidR="00B0252E" w:rsidRDefault="00B0252E">
      <w:pPr>
        <w:spacing w:line="600" w:lineRule="exact"/>
        <w:jc w:val="left"/>
        <w:rPr>
          <w:rFonts w:ascii="Times New Roman" w:eastAsia="Times New Roman" w:hAnsi="Times New Roman"/>
          <w:sz w:val="30"/>
        </w:rPr>
      </w:pPr>
    </w:p>
    <w:p w:rsidR="00B0252E" w:rsidRDefault="009723F2">
      <w:pPr>
        <w:spacing w:line="600" w:lineRule="exact"/>
        <w:jc w:val="center"/>
        <w:rPr>
          <w:rFonts w:ascii="Times New Roman" w:eastAsia="Times New Roman" w:hAnsi="Times New Roman"/>
          <w:sz w:val="32"/>
        </w:rPr>
      </w:pPr>
      <w:r>
        <w:rPr>
          <w:rFonts w:ascii="黑体" w:eastAsia="黑体" w:hAnsi="黑体" w:hint="eastAsia"/>
          <w:sz w:val="32"/>
        </w:rPr>
        <w:lastRenderedPageBreak/>
        <w:t>第一部分  德宏州梁河县</w:t>
      </w:r>
      <w:r w:rsidR="00D62C31">
        <w:rPr>
          <w:rFonts w:ascii="黑体" w:eastAsia="黑体" w:hAnsi="黑体" w:hint="eastAsia"/>
          <w:sz w:val="32"/>
        </w:rPr>
        <w:t>大厂</w:t>
      </w:r>
      <w:r>
        <w:rPr>
          <w:rFonts w:ascii="黑体" w:eastAsia="黑体" w:hAnsi="黑体" w:hint="eastAsia"/>
          <w:sz w:val="32"/>
        </w:rPr>
        <w:t>乡概况</w:t>
      </w:r>
    </w:p>
    <w:p w:rsidR="00B0252E" w:rsidRDefault="009723F2">
      <w:pPr>
        <w:spacing w:line="600" w:lineRule="exact"/>
        <w:ind w:firstLine="600"/>
        <w:rPr>
          <w:rFonts w:ascii="Times New Roman" w:eastAsia="Times New Roman" w:hAnsi="Times New Roman"/>
          <w:sz w:val="30"/>
        </w:rPr>
      </w:pPr>
      <w:r>
        <w:rPr>
          <w:rFonts w:ascii="黑体" w:eastAsia="黑体" w:hAnsi="黑体" w:hint="eastAsia"/>
          <w:sz w:val="30"/>
        </w:rPr>
        <w:t>一、主要职能</w:t>
      </w:r>
    </w:p>
    <w:p w:rsidR="00B0252E" w:rsidRDefault="009723F2">
      <w:pPr>
        <w:spacing w:line="600" w:lineRule="exact"/>
        <w:ind w:firstLine="600"/>
        <w:rPr>
          <w:rFonts w:ascii="Times New Roman" w:eastAsia="Times New Roman" w:hAnsi="Times New Roman"/>
          <w:sz w:val="30"/>
        </w:rPr>
      </w:pPr>
      <w:r>
        <w:rPr>
          <w:rFonts w:ascii="楷体" w:eastAsia="楷体" w:hAnsi="楷体" w:hint="eastAsia"/>
          <w:sz w:val="30"/>
        </w:rPr>
        <w:t>（一）主要职能</w:t>
      </w:r>
    </w:p>
    <w:p w:rsidR="00B0252E" w:rsidRDefault="009723F2">
      <w:pPr>
        <w:spacing w:line="600" w:lineRule="exact"/>
        <w:ind w:firstLine="630"/>
        <w:rPr>
          <w:rFonts w:ascii="Times New Roman" w:eastAsia="Times New Roman" w:hAnsi="Times New Roman"/>
          <w:sz w:val="30"/>
        </w:rPr>
      </w:pPr>
      <w:r>
        <w:rPr>
          <w:rFonts w:ascii="仿宋" w:eastAsia="仿宋" w:hAnsi="仿宋" w:hint="eastAsia"/>
          <w:sz w:val="30"/>
        </w:rPr>
        <w:t>参照政府批准的</w:t>
      </w:r>
      <w:r>
        <w:rPr>
          <w:rFonts w:ascii="Times New Roman" w:eastAsia="Times New Roman" w:hAnsi="Times New Roman"/>
          <w:sz w:val="30"/>
        </w:rPr>
        <w:t>“</w:t>
      </w:r>
      <w:r>
        <w:rPr>
          <w:rFonts w:ascii="仿宋" w:eastAsia="仿宋" w:hAnsi="仿宋" w:hint="eastAsia"/>
          <w:sz w:val="30"/>
        </w:rPr>
        <w:t>三定</w:t>
      </w:r>
      <w:r>
        <w:rPr>
          <w:rFonts w:ascii="Times New Roman" w:eastAsia="Times New Roman" w:hAnsi="Times New Roman"/>
          <w:sz w:val="30"/>
        </w:rPr>
        <w:t>”</w:t>
      </w:r>
      <w:r>
        <w:rPr>
          <w:rFonts w:ascii="仿宋" w:eastAsia="仿宋" w:hAnsi="仿宋" w:hint="eastAsia"/>
          <w:sz w:val="30"/>
        </w:rPr>
        <w:t>方案。</w:t>
      </w:r>
    </w:p>
    <w:p w:rsidR="00B0252E" w:rsidRDefault="009723F2">
      <w:pPr>
        <w:spacing w:line="600" w:lineRule="exact"/>
        <w:ind w:firstLine="630"/>
        <w:rPr>
          <w:rFonts w:ascii="Times New Roman" w:eastAsia="Times New Roman" w:hAnsi="Times New Roman"/>
          <w:sz w:val="30"/>
        </w:rPr>
      </w:pPr>
      <w:r>
        <w:rPr>
          <w:rFonts w:ascii="楷体" w:eastAsia="楷体" w:hAnsi="楷体" w:hint="eastAsia"/>
          <w:sz w:val="30"/>
        </w:rPr>
        <w:t>（二）2019年度重点工作任务介绍</w:t>
      </w:r>
    </w:p>
    <w:p w:rsidR="00B0252E" w:rsidRDefault="009723F2">
      <w:pPr>
        <w:spacing w:line="600" w:lineRule="exact"/>
        <w:ind w:firstLine="630"/>
        <w:rPr>
          <w:rFonts w:ascii="Times New Roman" w:eastAsia="Times New Roman" w:hAnsi="Times New Roman"/>
          <w:sz w:val="30"/>
        </w:rPr>
      </w:pPr>
      <w:r>
        <w:rPr>
          <w:rFonts w:ascii="仿宋" w:eastAsia="仿宋" w:hAnsi="仿宋" w:hint="eastAsia"/>
          <w:sz w:val="30"/>
        </w:rPr>
        <w:t>2019年度重点工作任务介绍。</w:t>
      </w:r>
    </w:p>
    <w:p w:rsidR="00B0252E" w:rsidRDefault="009723F2">
      <w:pPr>
        <w:spacing w:line="600" w:lineRule="exact"/>
        <w:ind w:firstLine="600"/>
        <w:rPr>
          <w:rFonts w:ascii="Times New Roman" w:eastAsia="Times New Roman" w:hAnsi="Times New Roman"/>
          <w:sz w:val="30"/>
        </w:rPr>
      </w:pPr>
      <w:r>
        <w:rPr>
          <w:rFonts w:ascii="黑体" w:eastAsia="黑体" w:hAnsi="黑体" w:hint="eastAsia"/>
          <w:sz w:val="30"/>
        </w:rPr>
        <w:t>二、部门基本情况</w:t>
      </w:r>
    </w:p>
    <w:p w:rsidR="00B0252E" w:rsidRDefault="009723F2">
      <w:pPr>
        <w:spacing w:line="600" w:lineRule="exact"/>
        <w:ind w:firstLine="600"/>
        <w:rPr>
          <w:rFonts w:ascii="Times New Roman" w:eastAsia="Times New Roman" w:hAnsi="Times New Roman"/>
          <w:sz w:val="30"/>
        </w:rPr>
      </w:pPr>
      <w:r>
        <w:rPr>
          <w:rFonts w:ascii="楷体" w:eastAsia="楷体" w:hAnsi="楷体" w:hint="eastAsia"/>
          <w:sz w:val="30"/>
        </w:rPr>
        <w:t>（一）部门决算单位构成</w:t>
      </w:r>
    </w:p>
    <w:p w:rsidR="00B0252E" w:rsidRDefault="009723F2">
      <w:pPr>
        <w:spacing w:line="600" w:lineRule="exact"/>
        <w:ind w:firstLine="600"/>
        <w:rPr>
          <w:rFonts w:ascii="Times New Roman" w:eastAsia="Times New Roman" w:hAnsi="Times New Roman"/>
          <w:color w:val="000000" w:themeColor="text1"/>
          <w:sz w:val="30"/>
        </w:rPr>
      </w:pPr>
      <w:r>
        <w:rPr>
          <w:rFonts w:ascii="仿宋" w:eastAsia="仿宋" w:hAnsi="仿宋" w:hint="eastAsia"/>
          <w:color w:val="000000" w:themeColor="text1"/>
          <w:sz w:val="30"/>
        </w:rPr>
        <w:t>纳入德宏州梁河县</w:t>
      </w:r>
      <w:r w:rsidR="00D62C31">
        <w:rPr>
          <w:rFonts w:ascii="仿宋" w:eastAsia="仿宋" w:hAnsi="仿宋" w:hint="eastAsia"/>
          <w:color w:val="000000" w:themeColor="text1"/>
          <w:sz w:val="30"/>
        </w:rPr>
        <w:t>大厂</w:t>
      </w:r>
      <w:r>
        <w:rPr>
          <w:rFonts w:ascii="仿宋" w:eastAsia="仿宋" w:hAnsi="仿宋" w:hint="eastAsia"/>
          <w:color w:val="000000" w:themeColor="text1"/>
          <w:sz w:val="30"/>
        </w:rPr>
        <w:t>乡部门2019年度部门决算编报的单位共11个。其中：行政单位4个，参照公务员法管理的事业单位1个，其他事业单位6个。分别是：党政办公室、经济发展办公室、社会事务办公室、社会治安综合治理办公室、农业综合服务中心、农村经济经营管理站、文化广播电视服务中心、村镇规划建设服务中心、财政所、社会保障服务中心、林业站。</w:t>
      </w:r>
    </w:p>
    <w:p w:rsidR="00B0252E" w:rsidRDefault="009723F2">
      <w:pPr>
        <w:spacing w:line="600" w:lineRule="exact"/>
        <w:ind w:firstLine="600"/>
        <w:rPr>
          <w:rFonts w:ascii="楷体" w:eastAsia="楷体" w:hAnsi="楷体"/>
          <w:color w:val="000000" w:themeColor="text1"/>
          <w:sz w:val="30"/>
        </w:rPr>
      </w:pPr>
      <w:r>
        <w:rPr>
          <w:rFonts w:ascii="楷体" w:eastAsia="楷体" w:hAnsi="楷体" w:hint="eastAsia"/>
          <w:color w:val="000000" w:themeColor="text1"/>
          <w:sz w:val="30"/>
        </w:rPr>
        <w:t xml:space="preserve">（二）部门人员和车辆的编制及实有情况 </w:t>
      </w:r>
    </w:p>
    <w:p w:rsidR="00B0252E" w:rsidRDefault="009723F2">
      <w:pPr>
        <w:spacing w:line="600" w:lineRule="exact"/>
        <w:ind w:firstLine="600"/>
        <w:rPr>
          <w:rFonts w:ascii="Times New Roman" w:eastAsia="Times New Roman" w:hAnsi="Times New Roman"/>
          <w:color w:val="000000" w:themeColor="text1"/>
          <w:kern w:val="0"/>
          <w:sz w:val="30"/>
        </w:rPr>
      </w:pPr>
      <w:r>
        <w:rPr>
          <w:rFonts w:ascii="仿宋" w:eastAsia="仿宋" w:hAnsi="仿宋" w:hint="eastAsia"/>
          <w:color w:val="000000" w:themeColor="text1"/>
          <w:sz w:val="30"/>
        </w:rPr>
        <w:t>德宏州梁河县</w:t>
      </w:r>
      <w:r w:rsidR="00D62C31">
        <w:rPr>
          <w:rFonts w:ascii="仿宋" w:eastAsia="仿宋" w:hAnsi="仿宋" w:hint="eastAsia"/>
          <w:color w:val="000000" w:themeColor="text1"/>
          <w:sz w:val="30"/>
        </w:rPr>
        <w:t>大厂</w:t>
      </w:r>
      <w:r>
        <w:rPr>
          <w:rFonts w:ascii="仿宋" w:eastAsia="仿宋" w:hAnsi="仿宋" w:hint="eastAsia"/>
          <w:color w:val="000000" w:themeColor="text1"/>
          <w:sz w:val="30"/>
        </w:rPr>
        <w:t>乡部门2019年末实有人员编制6</w:t>
      </w:r>
      <w:r w:rsidR="00D62C31">
        <w:rPr>
          <w:rFonts w:ascii="仿宋" w:eastAsia="仿宋" w:hAnsi="仿宋" w:hint="eastAsia"/>
          <w:color w:val="000000" w:themeColor="text1"/>
          <w:sz w:val="30"/>
        </w:rPr>
        <w:t>0</w:t>
      </w:r>
      <w:r>
        <w:rPr>
          <w:rFonts w:ascii="仿宋" w:eastAsia="仿宋" w:hAnsi="仿宋" w:hint="eastAsia"/>
          <w:color w:val="000000" w:themeColor="text1"/>
          <w:kern w:val="0"/>
          <w:sz w:val="30"/>
        </w:rPr>
        <w:t>人。其中：行政编制</w:t>
      </w:r>
      <w:r w:rsidR="00D62C31">
        <w:rPr>
          <w:rFonts w:ascii="仿宋" w:eastAsia="仿宋" w:hAnsi="仿宋" w:hint="eastAsia"/>
          <w:color w:val="000000" w:themeColor="text1"/>
          <w:sz w:val="30"/>
        </w:rPr>
        <w:t>24</w:t>
      </w:r>
      <w:r>
        <w:rPr>
          <w:rFonts w:ascii="仿宋" w:eastAsia="仿宋" w:hAnsi="仿宋" w:hint="eastAsia"/>
          <w:color w:val="000000" w:themeColor="text1"/>
          <w:kern w:val="0"/>
          <w:sz w:val="30"/>
        </w:rPr>
        <w:t>人（含行政工勤编制</w:t>
      </w:r>
      <w:r w:rsidR="00D62C31">
        <w:rPr>
          <w:rFonts w:ascii="仿宋" w:eastAsia="仿宋" w:hAnsi="仿宋" w:hint="eastAsia"/>
          <w:color w:val="000000" w:themeColor="text1"/>
          <w:kern w:val="0"/>
          <w:sz w:val="30"/>
        </w:rPr>
        <w:t>2</w:t>
      </w:r>
      <w:r>
        <w:rPr>
          <w:rFonts w:ascii="仿宋" w:eastAsia="仿宋" w:hAnsi="仿宋" w:hint="eastAsia"/>
          <w:color w:val="000000" w:themeColor="text1"/>
          <w:kern w:val="0"/>
          <w:sz w:val="30"/>
        </w:rPr>
        <w:t>人），事业编制</w:t>
      </w:r>
      <w:r>
        <w:rPr>
          <w:rFonts w:ascii="仿宋" w:eastAsia="仿宋" w:hAnsi="仿宋" w:hint="eastAsia"/>
          <w:color w:val="000000" w:themeColor="text1"/>
          <w:sz w:val="30"/>
        </w:rPr>
        <w:t>36</w:t>
      </w:r>
      <w:r>
        <w:rPr>
          <w:rFonts w:ascii="仿宋" w:eastAsia="仿宋" w:hAnsi="仿宋" w:hint="eastAsia"/>
          <w:color w:val="000000" w:themeColor="text1"/>
          <w:kern w:val="0"/>
          <w:sz w:val="30"/>
        </w:rPr>
        <w:t>人（含参公管理事业编制</w:t>
      </w:r>
      <w:r>
        <w:rPr>
          <w:rFonts w:ascii="仿宋" w:eastAsia="仿宋" w:hAnsi="仿宋" w:hint="eastAsia"/>
          <w:color w:val="000000" w:themeColor="text1"/>
          <w:sz w:val="30"/>
        </w:rPr>
        <w:t>3</w:t>
      </w:r>
      <w:r>
        <w:rPr>
          <w:rFonts w:ascii="仿宋" w:eastAsia="仿宋" w:hAnsi="仿宋" w:hint="eastAsia"/>
          <w:color w:val="000000" w:themeColor="text1"/>
          <w:kern w:val="0"/>
          <w:sz w:val="30"/>
        </w:rPr>
        <w:t>人）；在职在编实有行政人员</w:t>
      </w:r>
      <w:r w:rsidR="00D62C31">
        <w:rPr>
          <w:rFonts w:ascii="仿宋" w:eastAsia="仿宋" w:hAnsi="仿宋" w:hint="eastAsia"/>
          <w:color w:val="000000" w:themeColor="text1"/>
          <w:sz w:val="30"/>
        </w:rPr>
        <w:t>24</w:t>
      </w:r>
      <w:r>
        <w:rPr>
          <w:rFonts w:ascii="仿宋" w:eastAsia="仿宋" w:hAnsi="仿宋" w:hint="eastAsia"/>
          <w:color w:val="000000" w:themeColor="text1"/>
          <w:kern w:val="0"/>
          <w:sz w:val="30"/>
        </w:rPr>
        <w:t>人（含行政工勤人员</w:t>
      </w:r>
      <w:r w:rsidR="00D62C31">
        <w:rPr>
          <w:rFonts w:ascii="仿宋" w:eastAsia="仿宋" w:hAnsi="仿宋" w:hint="eastAsia"/>
          <w:color w:val="000000" w:themeColor="text1"/>
          <w:sz w:val="30"/>
        </w:rPr>
        <w:t>2</w:t>
      </w:r>
      <w:r>
        <w:rPr>
          <w:rFonts w:ascii="仿宋" w:eastAsia="仿宋" w:hAnsi="仿宋" w:hint="eastAsia"/>
          <w:color w:val="000000" w:themeColor="text1"/>
          <w:kern w:val="0"/>
          <w:sz w:val="30"/>
        </w:rPr>
        <w:t>人），事业人</w:t>
      </w:r>
      <w:r w:rsidR="00D62C31">
        <w:rPr>
          <w:rFonts w:ascii="仿宋" w:eastAsia="仿宋" w:hAnsi="仿宋" w:hint="eastAsia"/>
          <w:color w:val="000000" w:themeColor="text1"/>
          <w:kern w:val="0"/>
          <w:sz w:val="30"/>
        </w:rPr>
        <w:t>32</w:t>
      </w:r>
      <w:r>
        <w:rPr>
          <w:rFonts w:ascii="仿宋" w:eastAsia="仿宋" w:hAnsi="仿宋" w:hint="eastAsia"/>
          <w:color w:val="000000" w:themeColor="text1"/>
          <w:kern w:val="0"/>
          <w:sz w:val="30"/>
        </w:rPr>
        <w:t>人（含参公管理事业人员</w:t>
      </w:r>
      <w:r w:rsidR="00D62C31">
        <w:rPr>
          <w:rFonts w:ascii="仿宋" w:eastAsia="仿宋" w:hAnsi="仿宋" w:hint="eastAsia"/>
          <w:color w:val="000000" w:themeColor="text1"/>
          <w:sz w:val="30"/>
        </w:rPr>
        <w:t>3</w:t>
      </w:r>
      <w:r>
        <w:rPr>
          <w:rFonts w:ascii="仿宋" w:eastAsia="仿宋" w:hAnsi="仿宋" w:hint="eastAsia"/>
          <w:color w:val="000000" w:themeColor="text1"/>
          <w:kern w:val="0"/>
          <w:sz w:val="30"/>
        </w:rPr>
        <w:t>人），其他人员</w:t>
      </w:r>
      <w:r w:rsidR="00B76ABC">
        <w:rPr>
          <w:rFonts w:ascii="仿宋" w:eastAsia="仿宋" w:hAnsi="仿宋" w:hint="eastAsia"/>
          <w:color w:val="000000" w:themeColor="text1"/>
          <w:sz w:val="30"/>
        </w:rPr>
        <w:t>4</w:t>
      </w:r>
      <w:r>
        <w:rPr>
          <w:rFonts w:ascii="仿宋" w:eastAsia="仿宋" w:hAnsi="仿宋" w:hint="eastAsia"/>
          <w:color w:val="000000" w:themeColor="text1"/>
          <w:kern w:val="0"/>
          <w:sz w:val="30"/>
        </w:rPr>
        <w:t>人。</w:t>
      </w:r>
      <w:r w:rsidR="00B76ABC">
        <w:rPr>
          <w:rFonts w:ascii="仿宋" w:eastAsia="仿宋" w:hAnsi="仿宋" w:hint="eastAsia"/>
          <w:color w:val="000000" w:themeColor="text1"/>
          <w:kern w:val="0"/>
          <w:sz w:val="30"/>
        </w:rPr>
        <w:t>包括廖发垚、聂根辉、张祖爽、李维儒。</w:t>
      </w:r>
    </w:p>
    <w:p w:rsidR="00B0252E" w:rsidRDefault="009723F2">
      <w:pPr>
        <w:spacing w:line="600" w:lineRule="exact"/>
        <w:ind w:firstLine="600"/>
        <w:rPr>
          <w:rFonts w:ascii="Times New Roman" w:eastAsia="Times New Roman" w:hAnsi="Times New Roman"/>
          <w:color w:val="000000" w:themeColor="text1"/>
          <w:kern w:val="0"/>
          <w:sz w:val="30"/>
        </w:rPr>
      </w:pPr>
      <w:r>
        <w:rPr>
          <w:rFonts w:ascii="仿宋" w:eastAsia="仿宋" w:hAnsi="仿宋" w:hint="eastAsia"/>
          <w:color w:val="000000" w:themeColor="text1"/>
          <w:kern w:val="0"/>
          <w:sz w:val="30"/>
        </w:rPr>
        <w:t>离退休人员</w:t>
      </w:r>
      <w:r w:rsidR="00D62C31">
        <w:rPr>
          <w:rFonts w:ascii="仿宋" w:eastAsia="仿宋" w:hAnsi="仿宋" w:hint="eastAsia"/>
          <w:color w:val="000000" w:themeColor="text1"/>
          <w:sz w:val="30"/>
        </w:rPr>
        <w:t>18</w:t>
      </w:r>
      <w:r>
        <w:rPr>
          <w:rFonts w:ascii="仿宋" w:eastAsia="仿宋" w:hAnsi="仿宋" w:hint="eastAsia"/>
          <w:color w:val="000000" w:themeColor="text1"/>
          <w:kern w:val="0"/>
          <w:sz w:val="30"/>
        </w:rPr>
        <w:t>人。其中：离休</w:t>
      </w:r>
      <w:r w:rsidR="00D62C31">
        <w:rPr>
          <w:rFonts w:ascii="仿宋" w:eastAsia="仿宋" w:hAnsi="仿宋" w:hint="eastAsia"/>
          <w:color w:val="000000" w:themeColor="text1"/>
          <w:sz w:val="30"/>
        </w:rPr>
        <w:t>1</w:t>
      </w:r>
      <w:r>
        <w:rPr>
          <w:rFonts w:ascii="仿宋" w:eastAsia="仿宋" w:hAnsi="仿宋" w:hint="eastAsia"/>
          <w:color w:val="000000" w:themeColor="text1"/>
          <w:kern w:val="0"/>
          <w:sz w:val="30"/>
        </w:rPr>
        <w:t>人，退休</w:t>
      </w:r>
      <w:r w:rsidR="00D62C31">
        <w:rPr>
          <w:rFonts w:ascii="仿宋" w:eastAsia="仿宋" w:hAnsi="仿宋" w:hint="eastAsia"/>
          <w:color w:val="000000" w:themeColor="text1"/>
          <w:sz w:val="30"/>
        </w:rPr>
        <w:t>17</w:t>
      </w:r>
      <w:r>
        <w:rPr>
          <w:rFonts w:ascii="仿宋" w:eastAsia="仿宋" w:hAnsi="仿宋" w:hint="eastAsia"/>
          <w:color w:val="000000" w:themeColor="text1"/>
          <w:kern w:val="0"/>
          <w:sz w:val="30"/>
        </w:rPr>
        <w:t>人。</w:t>
      </w:r>
    </w:p>
    <w:p w:rsidR="00B0252E" w:rsidRDefault="009723F2">
      <w:pPr>
        <w:spacing w:line="600" w:lineRule="exact"/>
        <w:ind w:firstLine="600"/>
        <w:rPr>
          <w:rFonts w:ascii="Times New Roman" w:eastAsia="Times New Roman" w:hAnsi="Times New Roman"/>
          <w:color w:val="000000" w:themeColor="text1"/>
          <w:kern w:val="0"/>
          <w:sz w:val="30"/>
        </w:rPr>
      </w:pPr>
      <w:r>
        <w:rPr>
          <w:rFonts w:ascii="仿宋" w:eastAsia="仿宋" w:hAnsi="仿宋" w:hint="eastAsia"/>
          <w:color w:val="000000" w:themeColor="text1"/>
          <w:kern w:val="0"/>
          <w:sz w:val="30"/>
        </w:rPr>
        <w:lastRenderedPageBreak/>
        <w:t>实有车辆编制</w:t>
      </w:r>
      <w:r>
        <w:rPr>
          <w:rFonts w:ascii="仿宋" w:eastAsia="仿宋" w:hAnsi="仿宋" w:hint="eastAsia"/>
          <w:color w:val="000000" w:themeColor="text1"/>
          <w:sz w:val="30"/>
        </w:rPr>
        <w:t>3</w:t>
      </w:r>
      <w:r>
        <w:rPr>
          <w:rFonts w:ascii="仿宋" w:eastAsia="仿宋" w:hAnsi="仿宋" w:hint="eastAsia"/>
          <w:color w:val="000000" w:themeColor="text1"/>
          <w:kern w:val="0"/>
          <w:sz w:val="30"/>
        </w:rPr>
        <w:t>辆，在编实有车辆</w:t>
      </w:r>
      <w:r>
        <w:rPr>
          <w:rFonts w:ascii="仿宋" w:eastAsia="仿宋" w:hAnsi="仿宋" w:hint="eastAsia"/>
          <w:color w:val="000000" w:themeColor="text1"/>
          <w:sz w:val="30"/>
        </w:rPr>
        <w:t>2</w:t>
      </w:r>
      <w:r>
        <w:rPr>
          <w:rFonts w:ascii="仿宋" w:eastAsia="仿宋" w:hAnsi="仿宋" w:hint="eastAsia"/>
          <w:color w:val="000000" w:themeColor="text1"/>
          <w:kern w:val="0"/>
          <w:sz w:val="30"/>
        </w:rPr>
        <w:t>辆。</w:t>
      </w:r>
    </w:p>
    <w:p w:rsidR="00B0252E" w:rsidRDefault="009723F2">
      <w:pPr>
        <w:spacing w:line="600" w:lineRule="exact"/>
        <w:jc w:val="center"/>
        <w:rPr>
          <w:rFonts w:ascii="Times New Roman" w:eastAsia="Times New Roman" w:hAnsi="Times New Roman"/>
          <w:sz w:val="32"/>
        </w:rPr>
      </w:pPr>
      <w:r>
        <w:rPr>
          <w:rFonts w:ascii="黑体" w:eastAsia="黑体" w:hAnsi="黑体" w:hint="eastAsia"/>
          <w:sz w:val="32"/>
        </w:rPr>
        <w:t>第二部分  2019年度部门决算表</w:t>
      </w:r>
    </w:p>
    <w:p w:rsidR="00B0252E" w:rsidRDefault="009723F2">
      <w:pPr>
        <w:spacing w:line="600" w:lineRule="exact"/>
        <w:ind w:firstLine="600"/>
        <w:jc w:val="center"/>
        <w:rPr>
          <w:rFonts w:ascii="Times New Roman" w:eastAsia="Times New Roman" w:hAnsi="Times New Roman"/>
          <w:color w:val="000000" w:themeColor="text1"/>
          <w:sz w:val="30"/>
        </w:rPr>
      </w:pPr>
      <w:r>
        <w:rPr>
          <w:rFonts w:ascii="仿宋" w:eastAsia="仿宋" w:hAnsi="仿宋" w:hint="eastAsia"/>
          <w:color w:val="000000" w:themeColor="text1"/>
          <w:sz w:val="30"/>
        </w:rPr>
        <w:t>（详见附件）</w:t>
      </w:r>
    </w:p>
    <w:p w:rsidR="00B0252E" w:rsidRDefault="00B0252E">
      <w:pPr>
        <w:spacing w:line="600" w:lineRule="exact"/>
        <w:ind w:firstLine="600"/>
        <w:jc w:val="center"/>
        <w:rPr>
          <w:rFonts w:ascii="Times New Roman" w:eastAsia="Times New Roman" w:hAnsi="Times New Roman"/>
          <w:sz w:val="30"/>
        </w:rPr>
      </w:pPr>
    </w:p>
    <w:p w:rsidR="00B0252E" w:rsidRDefault="00B0252E">
      <w:pPr>
        <w:spacing w:line="600" w:lineRule="exact"/>
        <w:jc w:val="center"/>
        <w:rPr>
          <w:rFonts w:ascii="黑体" w:eastAsia="黑体" w:hAnsi="黑体"/>
          <w:sz w:val="32"/>
        </w:rPr>
      </w:pPr>
    </w:p>
    <w:p w:rsidR="00B0252E" w:rsidRDefault="00B0252E">
      <w:pPr>
        <w:spacing w:line="600" w:lineRule="exact"/>
        <w:jc w:val="center"/>
        <w:rPr>
          <w:rFonts w:ascii="黑体" w:eastAsia="黑体" w:hAnsi="黑体"/>
          <w:sz w:val="32"/>
        </w:rPr>
      </w:pPr>
    </w:p>
    <w:p w:rsidR="00B0252E" w:rsidRDefault="00B0252E">
      <w:pPr>
        <w:spacing w:line="600" w:lineRule="exact"/>
        <w:jc w:val="center"/>
        <w:rPr>
          <w:rFonts w:ascii="黑体" w:eastAsia="黑体" w:hAnsi="黑体"/>
          <w:sz w:val="32"/>
        </w:rPr>
      </w:pPr>
    </w:p>
    <w:p w:rsidR="00B0252E" w:rsidRDefault="009723F2">
      <w:pPr>
        <w:spacing w:line="600" w:lineRule="exact"/>
        <w:jc w:val="center"/>
        <w:rPr>
          <w:rFonts w:ascii="Times New Roman" w:eastAsia="Times New Roman" w:hAnsi="Times New Roman"/>
          <w:sz w:val="32"/>
        </w:rPr>
      </w:pPr>
      <w:r>
        <w:rPr>
          <w:rFonts w:ascii="黑体" w:eastAsia="黑体" w:hAnsi="黑体" w:hint="eastAsia"/>
          <w:sz w:val="32"/>
        </w:rPr>
        <w:t>第三部分  2019年度部门决算情况说明</w:t>
      </w:r>
    </w:p>
    <w:p w:rsidR="00B0252E" w:rsidRDefault="009723F2">
      <w:pPr>
        <w:spacing w:line="600" w:lineRule="exact"/>
        <w:ind w:firstLine="600"/>
        <w:jc w:val="left"/>
        <w:rPr>
          <w:rFonts w:ascii="Times New Roman" w:eastAsia="Times New Roman" w:hAnsi="Times New Roman"/>
          <w:sz w:val="30"/>
        </w:rPr>
      </w:pPr>
      <w:r>
        <w:rPr>
          <w:rFonts w:ascii="黑体" w:eastAsia="黑体" w:hAnsi="黑体" w:hint="eastAsia"/>
          <w:sz w:val="30"/>
        </w:rPr>
        <w:t>一、收入决算情况说明</w:t>
      </w:r>
    </w:p>
    <w:p w:rsidR="00B0252E" w:rsidRDefault="009723F2">
      <w:pPr>
        <w:spacing w:line="600" w:lineRule="exact"/>
        <w:ind w:firstLine="538"/>
        <w:jc w:val="left"/>
        <w:rPr>
          <w:rFonts w:ascii="仿宋" w:eastAsia="仿宋" w:hAnsi="仿宋"/>
          <w:sz w:val="30"/>
        </w:rPr>
      </w:pPr>
      <w:r>
        <w:rPr>
          <w:rFonts w:ascii="黑体" w:eastAsia="黑体" w:hAnsi="黑体" w:hint="eastAsia"/>
          <w:noProof/>
          <w:sz w:val="30"/>
        </w:rPr>
        <w:drawing>
          <wp:anchor distT="0" distB="0" distL="114300" distR="114300" simplePos="0" relativeHeight="251658240" behindDoc="0" locked="0" layoutInCell="1" allowOverlap="1">
            <wp:simplePos x="0" y="0"/>
            <wp:positionH relativeFrom="column">
              <wp:posOffset>34925</wp:posOffset>
            </wp:positionH>
            <wp:positionV relativeFrom="paragraph">
              <wp:posOffset>2118360</wp:posOffset>
            </wp:positionV>
            <wp:extent cx="5330825" cy="3080385"/>
            <wp:effectExtent l="0" t="0" r="0" b="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仿宋" w:eastAsia="仿宋" w:hAnsi="仿宋" w:hint="eastAsia"/>
          <w:sz w:val="30"/>
        </w:rPr>
        <w:t>德宏州梁河县</w:t>
      </w:r>
      <w:r w:rsidR="00D62C31">
        <w:rPr>
          <w:rFonts w:ascii="仿宋" w:eastAsia="仿宋" w:hAnsi="仿宋" w:hint="eastAsia"/>
          <w:sz w:val="30"/>
        </w:rPr>
        <w:t>大厂</w:t>
      </w:r>
      <w:r>
        <w:rPr>
          <w:rFonts w:ascii="仿宋" w:eastAsia="仿宋" w:hAnsi="仿宋" w:hint="eastAsia"/>
          <w:sz w:val="30"/>
        </w:rPr>
        <w:t>乡部门2019年度收入合计</w:t>
      </w:r>
      <w:r w:rsidR="00B76ABC">
        <w:rPr>
          <w:rFonts w:ascii="仿宋" w:eastAsia="仿宋" w:hAnsi="仿宋" w:hint="eastAsia"/>
          <w:sz w:val="30"/>
        </w:rPr>
        <w:t>1995.89</w:t>
      </w:r>
      <w:r>
        <w:rPr>
          <w:rFonts w:ascii="仿宋" w:eastAsia="仿宋" w:hAnsi="仿宋" w:hint="eastAsia"/>
          <w:sz w:val="30"/>
        </w:rPr>
        <w:t>万元。其中：财政拨款收入</w:t>
      </w:r>
      <w:r w:rsidR="00B76ABC">
        <w:rPr>
          <w:rFonts w:ascii="仿宋" w:eastAsia="仿宋" w:hAnsi="仿宋" w:hint="eastAsia"/>
          <w:sz w:val="30"/>
        </w:rPr>
        <w:t>1916.39</w:t>
      </w:r>
      <w:r>
        <w:rPr>
          <w:rFonts w:ascii="仿宋" w:eastAsia="仿宋" w:hAnsi="仿宋" w:hint="eastAsia"/>
          <w:sz w:val="30"/>
        </w:rPr>
        <w:t>万元，占总收入的</w:t>
      </w:r>
      <w:r w:rsidR="00B76ABC">
        <w:rPr>
          <w:rFonts w:ascii="仿宋" w:eastAsia="仿宋" w:hAnsi="仿宋" w:hint="eastAsia"/>
          <w:sz w:val="30"/>
        </w:rPr>
        <w:t>96.01</w:t>
      </w:r>
      <w:r>
        <w:rPr>
          <w:rFonts w:ascii="仿宋" w:eastAsia="仿宋" w:hAnsi="仿宋" w:hint="eastAsia"/>
          <w:sz w:val="30"/>
        </w:rPr>
        <w:t>%；上级补助收入0万元，占总收入的0%；事业收入0万元，占总收入的0%；经营收入0万元，占总收入的0%；附属单位缴款收入0万元，占总收入的0%；其他收入</w:t>
      </w:r>
      <w:r w:rsidR="00B76ABC">
        <w:rPr>
          <w:rFonts w:ascii="仿宋" w:eastAsia="仿宋" w:hAnsi="仿宋" w:hint="eastAsia"/>
          <w:sz w:val="30"/>
        </w:rPr>
        <w:t>79.5</w:t>
      </w:r>
      <w:r>
        <w:rPr>
          <w:rFonts w:ascii="仿宋" w:eastAsia="仿宋" w:hAnsi="仿宋" w:hint="eastAsia"/>
          <w:sz w:val="30"/>
        </w:rPr>
        <w:t>万元，占总收入的</w:t>
      </w:r>
      <w:r w:rsidR="00B76ABC">
        <w:rPr>
          <w:rFonts w:ascii="仿宋" w:eastAsia="仿宋" w:hAnsi="仿宋" w:hint="eastAsia"/>
          <w:sz w:val="30"/>
        </w:rPr>
        <w:t>3.99</w:t>
      </w:r>
      <w:r>
        <w:rPr>
          <w:rFonts w:ascii="仿宋" w:eastAsia="仿宋" w:hAnsi="仿宋" w:hint="eastAsia"/>
          <w:sz w:val="30"/>
        </w:rPr>
        <w:t xml:space="preserve">%。  </w:t>
      </w:r>
    </w:p>
    <w:p w:rsidR="00B0252E" w:rsidRDefault="009723F2">
      <w:pPr>
        <w:spacing w:line="600" w:lineRule="exact"/>
        <w:ind w:firstLine="538"/>
        <w:jc w:val="left"/>
        <w:rPr>
          <w:rFonts w:ascii="Times New Roman" w:eastAsia="Times New Roman" w:hAnsi="Times New Roman"/>
          <w:color w:val="FF0000"/>
          <w:sz w:val="30"/>
        </w:rPr>
      </w:pPr>
      <w:r>
        <w:rPr>
          <w:rFonts w:ascii="仿宋" w:eastAsia="仿宋" w:hAnsi="仿宋" w:hint="eastAsia"/>
          <w:sz w:val="30"/>
        </w:rPr>
        <w:lastRenderedPageBreak/>
        <w:t>与上年总收入</w:t>
      </w:r>
      <w:r w:rsidR="00B76ABC">
        <w:rPr>
          <w:rFonts w:ascii="仿宋_GB2312" w:eastAsia="仿宋_GB2312" w:hAnsi="Calibri" w:cs="Times New Roman" w:hint="eastAsia"/>
          <w:color w:val="000000"/>
          <w:sz w:val="30"/>
          <w:szCs w:val="30"/>
        </w:rPr>
        <w:t>1407.95</w:t>
      </w:r>
      <w:r>
        <w:rPr>
          <w:rFonts w:ascii="仿宋" w:eastAsia="仿宋" w:hAnsi="仿宋" w:hint="eastAsia"/>
          <w:sz w:val="30"/>
        </w:rPr>
        <w:t>万元相比，增加</w:t>
      </w:r>
      <w:r w:rsidR="00B76ABC">
        <w:rPr>
          <w:rFonts w:ascii="仿宋" w:eastAsia="仿宋" w:hAnsi="仿宋" w:hint="eastAsia"/>
          <w:sz w:val="30"/>
        </w:rPr>
        <w:t>587.94</w:t>
      </w:r>
      <w:r>
        <w:rPr>
          <w:rFonts w:ascii="仿宋" w:eastAsia="仿宋" w:hAnsi="仿宋" w:hint="eastAsia"/>
          <w:sz w:val="30"/>
        </w:rPr>
        <w:t>万元，增长18.44%，其中：财政拨款收入与上年2754.91万元相比，增加543.85万元，增长</w:t>
      </w:r>
      <w:r w:rsidR="00B76ABC">
        <w:rPr>
          <w:rFonts w:ascii="仿宋" w:eastAsia="仿宋" w:hAnsi="仿宋" w:hint="eastAsia"/>
          <w:sz w:val="30"/>
        </w:rPr>
        <w:t>29.45</w:t>
      </w:r>
      <w:r>
        <w:rPr>
          <w:rFonts w:ascii="仿宋" w:eastAsia="仿宋" w:hAnsi="仿宋" w:hint="eastAsia"/>
          <w:sz w:val="30"/>
        </w:rPr>
        <w:t>%；其他收入与上年</w:t>
      </w:r>
      <w:r w:rsidR="00B76ABC">
        <w:rPr>
          <w:rFonts w:ascii="仿宋_GB2312" w:eastAsia="仿宋_GB2312" w:hAnsi="Calibri" w:cs="Times New Roman" w:hint="eastAsia"/>
          <w:color w:val="000000"/>
          <w:sz w:val="30"/>
          <w:szCs w:val="30"/>
        </w:rPr>
        <w:t>42.91</w:t>
      </w:r>
      <w:r>
        <w:rPr>
          <w:rFonts w:ascii="仿宋" w:eastAsia="仿宋" w:hAnsi="仿宋" w:hint="eastAsia"/>
          <w:sz w:val="30"/>
        </w:rPr>
        <w:t>万元相比增加</w:t>
      </w:r>
      <w:r w:rsidR="00B76ABC">
        <w:rPr>
          <w:rFonts w:ascii="仿宋" w:eastAsia="仿宋" w:hAnsi="仿宋" w:hint="eastAsia"/>
          <w:sz w:val="30"/>
        </w:rPr>
        <w:t>36.59</w:t>
      </w:r>
      <w:r>
        <w:rPr>
          <w:rFonts w:ascii="仿宋" w:eastAsia="仿宋" w:hAnsi="仿宋" w:hint="eastAsia"/>
          <w:sz w:val="30"/>
        </w:rPr>
        <w:t>万元，增</w:t>
      </w:r>
      <w:r>
        <w:rPr>
          <w:rFonts w:ascii="仿宋" w:eastAsia="仿宋" w:hAnsi="仿宋" w:hint="eastAsia"/>
          <w:color w:val="000000" w:themeColor="text1"/>
          <w:sz w:val="30"/>
        </w:rPr>
        <w:t>长</w:t>
      </w:r>
      <w:r w:rsidR="00B76ABC">
        <w:rPr>
          <w:rFonts w:ascii="仿宋" w:eastAsia="仿宋" w:hAnsi="仿宋" w:hint="eastAsia"/>
          <w:color w:val="000000" w:themeColor="text1"/>
          <w:sz w:val="30"/>
        </w:rPr>
        <w:t>46.05</w:t>
      </w:r>
      <w:r>
        <w:rPr>
          <w:rFonts w:ascii="仿宋" w:eastAsia="仿宋" w:hAnsi="仿宋" w:hint="eastAsia"/>
          <w:color w:val="000000" w:themeColor="text1"/>
          <w:sz w:val="30"/>
        </w:rPr>
        <w:t>%，增加的主要原因是2019年是脱贫攻坚的关键的一年，各类扶贫项目资金下划到乡镇拨付。</w:t>
      </w:r>
    </w:p>
    <w:p w:rsidR="00B0252E" w:rsidRDefault="009723F2">
      <w:pPr>
        <w:spacing w:line="600" w:lineRule="exact"/>
        <w:ind w:firstLine="600"/>
        <w:jc w:val="left"/>
        <w:rPr>
          <w:rFonts w:ascii="Times New Roman" w:eastAsia="Times New Roman" w:hAnsi="Times New Roman"/>
          <w:sz w:val="30"/>
        </w:rPr>
      </w:pPr>
      <w:r>
        <w:rPr>
          <w:rFonts w:ascii="黑体" w:eastAsia="黑体" w:hAnsi="黑体" w:hint="eastAsia"/>
          <w:sz w:val="30"/>
        </w:rPr>
        <w:t>二、支出决算情况说明</w:t>
      </w:r>
    </w:p>
    <w:p w:rsidR="00B0252E" w:rsidRDefault="009723F2">
      <w:pPr>
        <w:spacing w:line="600" w:lineRule="exact"/>
        <w:ind w:firstLine="600"/>
        <w:rPr>
          <w:rFonts w:ascii="仿宋" w:eastAsia="仿宋" w:hAnsi="仿宋"/>
          <w:kern w:val="0"/>
          <w:sz w:val="30"/>
        </w:rPr>
      </w:pPr>
      <w:r>
        <w:rPr>
          <w:rFonts w:ascii="楷体" w:eastAsia="楷体" w:hAnsi="楷体" w:hint="eastAsia"/>
          <w:noProof/>
          <w:sz w:val="30"/>
        </w:rPr>
        <w:drawing>
          <wp:anchor distT="0" distB="0" distL="114300" distR="114300" simplePos="0" relativeHeight="251659264" behindDoc="0" locked="0" layoutInCell="1" allowOverlap="1">
            <wp:simplePos x="0" y="0"/>
            <wp:positionH relativeFrom="column">
              <wp:posOffset>400050</wp:posOffset>
            </wp:positionH>
            <wp:positionV relativeFrom="page">
              <wp:posOffset>4822825</wp:posOffset>
            </wp:positionV>
            <wp:extent cx="4965700" cy="3420110"/>
            <wp:effectExtent l="0" t="0" r="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eastAsia="仿宋" w:hAnsi="仿宋" w:hint="eastAsia"/>
          <w:sz w:val="30"/>
        </w:rPr>
        <w:t>德宏州梁河县</w:t>
      </w:r>
      <w:r w:rsidR="007D14E4">
        <w:rPr>
          <w:rFonts w:ascii="仿宋" w:eastAsia="仿宋" w:hAnsi="仿宋" w:hint="eastAsia"/>
          <w:sz w:val="30"/>
        </w:rPr>
        <w:t>大厂</w:t>
      </w:r>
      <w:r>
        <w:rPr>
          <w:rFonts w:ascii="仿宋" w:eastAsia="仿宋" w:hAnsi="仿宋" w:hint="eastAsia"/>
          <w:sz w:val="30"/>
        </w:rPr>
        <w:t>乡部门2019年度支出合计</w:t>
      </w:r>
      <w:r w:rsidR="00B76ABC">
        <w:rPr>
          <w:rFonts w:ascii="仿宋" w:eastAsia="仿宋" w:hAnsi="仿宋" w:hint="eastAsia"/>
          <w:sz w:val="30"/>
        </w:rPr>
        <w:t>1933.31</w:t>
      </w:r>
      <w:r>
        <w:rPr>
          <w:rFonts w:ascii="仿宋" w:eastAsia="仿宋" w:hAnsi="仿宋" w:hint="eastAsia"/>
          <w:sz w:val="30"/>
        </w:rPr>
        <w:t>万元。其中：</w:t>
      </w:r>
      <w:r>
        <w:rPr>
          <w:rFonts w:ascii="仿宋" w:eastAsia="仿宋" w:hAnsi="仿宋" w:hint="eastAsia"/>
          <w:kern w:val="0"/>
          <w:sz w:val="30"/>
        </w:rPr>
        <w:t>基本支出</w:t>
      </w:r>
      <w:r w:rsidR="00B76ABC">
        <w:rPr>
          <w:rFonts w:ascii="仿宋" w:eastAsia="仿宋" w:hAnsi="仿宋" w:hint="eastAsia"/>
          <w:sz w:val="30"/>
        </w:rPr>
        <w:t>1138</w:t>
      </w:r>
      <w:r w:rsidR="00CA2CDB">
        <w:rPr>
          <w:rFonts w:ascii="仿宋" w:eastAsia="仿宋" w:hAnsi="仿宋" w:hint="eastAsia"/>
          <w:sz w:val="30"/>
        </w:rPr>
        <w:t>.86</w:t>
      </w:r>
      <w:r>
        <w:rPr>
          <w:rFonts w:ascii="仿宋" w:eastAsia="仿宋" w:hAnsi="仿宋" w:hint="eastAsia"/>
          <w:sz w:val="30"/>
        </w:rPr>
        <w:t>万</w:t>
      </w:r>
      <w:r>
        <w:rPr>
          <w:rFonts w:ascii="仿宋" w:eastAsia="仿宋" w:hAnsi="仿宋" w:hint="eastAsia"/>
          <w:kern w:val="0"/>
          <w:sz w:val="30"/>
        </w:rPr>
        <w:t>元，占总支出的</w:t>
      </w:r>
      <w:r w:rsidR="00CA2CDB">
        <w:rPr>
          <w:rFonts w:ascii="仿宋" w:eastAsia="仿宋" w:hAnsi="仿宋" w:hint="eastAsia"/>
          <w:sz w:val="30"/>
        </w:rPr>
        <w:t>59.91</w:t>
      </w:r>
      <w:r>
        <w:rPr>
          <w:rFonts w:ascii="仿宋" w:eastAsia="仿宋" w:hAnsi="仿宋" w:hint="eastAsia"/>
          <w:sz w:val="30"/>
        </w:rPr>
        <w:t>%</w:t>
      </w:r>
      <w:r>
        <w:rPr>
          <w:rFonts w:ascii="仿宋" w:eastAsia="仿宋" w:hAnsi="仿宋" w:hint="eastAsia"/>
          <w:kern w:val="0"/>
          <w:sz w:val="30"/>
        </w:rPr>
        <w:t>；项目支出</w:t>
      </w:r>
      <w:r w:rsidR="00B76ABC">
        <w:rPr>
          <w:rFonts w:ascii="仿宋" w:eastAsia="仿宋" w:hAnsi="仿宋" w:hint="eastAsia"/>
          <w:sz w:val="30"/>
        </w:rPr>
        <w:t>794.45</w:t>
      </w:r>
      <w:r>
        <w:rPr>
          <w:rFonts w:ascii="仿宋" w:eastAsia="仿宋" w:hAnsi="仿宋" w:hint="eastAsia"/>
          <w:sz w:val="30"/>
        </w:rPr>
        <w:t>万</w:t>
      </w:r>
      <w:r>
        <w:rPr>
          <w:rFonts w:ascii="仿宋" w:eastAsia="仿宋" w:hAnsi="仿宋" w:hint="eastAsia"/>
          <w:kern w:val="0"/>
          <w:sz w:val="30"/>
        </w:rPr>
        <w:t>元，占总支出的</w:t>
      </w:r>
      <w:r w:rsidR="00CA2CDB">
        <w:rPr>
          <w:rFonts w:ascii="仿宋" w:eastAsia="仿宋" w:hAnsi="仿宋" w:hint="eastAsia"/>
          <w:sz w:val="30"/>
        </w:rPr>
        <w:t>40.09</w:t>
      </w:r>
      <w:r>
        <w:rPr>
          <w:rFonts w:ascii="仿宋" w:eastAsia="仿宋" w:hAnsi="仿宋" w:hint="eastAsia"/>
          <w:sz w:val="30"/>
        </w:rPr>
        <w:t>%</w:t>
      </w:r>
      <w:r>
        <w:rPr>
          <w:rFonts w:ascii="仿宋" w:eastAsia="仿宋" w:hAnsi="仿宋" w:hint="eastAsia"/>
          <w:kern w:val="0"/>
          <w:sz w:val="30"/>
        </w:rPr>
        <w:t>；上缴上级支出、经营支出、对附属单位补助支出共</w:t>
      </w:r>
      <w:r>
        <w:rPr>
          <w:rFonts w:ascii="仿宋" w:eastAsia="仿宋" w:hAnsi="仿宋" w:hint="eastAsia"/>
          <w:sz w:val="30"/>
        </w:rPr>
        <w:t>0万</w:t>
      </w:r>
      <w:r>
        <w:rPr>
          <w:rFonts w:ascii="仿宋" w:eastAsia="仿宋" w:hAnsi="仿宋" w:hint="eastAsia"/>
          <w:kern w:val="0"/>
          <w:sz w:val="30"/>
        </w:rPr>
        <w:t>元，占总支出的</w:t>
      </w:r>
      <w:r>
        <w:rPr>
          <w:rFonts w:ascii="仿宋" w:eastAsia="仿宋" w:hAnsi="仿宋" w:hint="eastAsia"/>
          <w:sz w:val="30"/>
        </w:rPr>
        <w:t>0%</w:t>
      </w:r>
      <w:r>
        <w:rPr>
          <w:rFonts w:ascii="仿宋" w:eastAsia="仿宋" w:hAnsi="仿宋" w:hint="eastAsia"/>
          <w:kern w:val="0"/>
          <w:sz w:val="30"/>
        </w:rPr>
        <w:t>。</w:t>
      </w:r>
    </w:p>
    <w:p w:rsidR="00B0252E" w:rsidRDefault="009723F2">
      <w:pPr>
        <w:spacing w:line="600" w:lineRule="exact"/>
        <w:ind w:firstLine="600"/>
        <w:rPr>
          <w:rFonts w:ascii="Times New Roman" w:eastAsia="Times New Roman" w:hAnsi="Times New Roman"/>
          <w:color w:val="FF0000"/>
          <w:kern w:val="0"/>
          <w:sz w:val="30"/>
        </w:rPr>
      </w:pPr>
      <w:r>
        <w:rPr>
          <w:rFonts w:ascii="仿宋" w:eastAsia="仿宋" w:hAnsi="仿宋" w:hint="eastAsia"/>
          <w:color w:val="000000" w:themeColor="text1"/>
          <w:sz w:val="30"/>
        </w:rPr>
        <w:t>与上年</w:t>
      </w:r>
      <w:r w:rsidR="00CA2CDB">
        <w:rPr>
          <w:rFonts w:ascii="仿宋_GB2312" w:eastAsia="仿宋_GB2312" w:hAnsi="Calibri" w:cs="Times New Roman" w:hint="eastAsia"/>
          <w:color w:val="000000"/>
          <w:sz w:val="30"/>
          <w:szCs w:val="30"/>
        </w:rPr>
        <w:t>1438.87</w:t>
      </w:r>
      <w:r>
        <w:rPr>
          <w:rFonts w:ascii="仿宋" w:eastAsia="仿宋" w:hAnsi="仿宋" w:hint="eastAsia"/>
          <w:color w:val="000000" w:themeColor="text1"/>
          <w:sz w:val="30"/>
        </w:rPr>
        <w:t>万元对比，增加</w:t>
      </w:r>
      <w:r w:rsidR="00CA2CDB">
        <w:rPr>
          <w:rFonts w:ascii="仿宋" w:eastAsia="仿宋" w:hAnsi="仿宋" w:hint="eastAsia"/>
          <w:color w:val="000000" w:themeColor="text1"/>
          <w:sz w:val="30"/>
        </w:rPr>
        <w:t>494.44</w:t>
      </w:r>
      <w:r>
        <w:rPr>
          <w:rFonts w:ascii="仿宋" w:eastAsia="仿宋" w:hAnsi="仿宋" w:hint="eastAsia"/>
          <w:color w:val="000000" w:themeColor="text1"/>
          <w:sz w:val="30"/>
        </w:rPr>
        <w:t>万元，增加了</w:t>
      </w:r>
      <w:r w:rsidR="00CA2CDB">
        <w:rPr>
          <w:rFonts w:ascii="仿宋" w:eastAsia="仿宋" w:hAnsi="仿宋" w:hint="eastAsia"/>
          <w:color w:val="000000" w:themeColor="text1"/>
          <w:sz w:val="30"/>
        </w:rPr>
        <w:t>25.57</w:t>
      </w:r>
      <w:r>
        <w:rPr>
          <w:rFonts w:ascii="仿宋" w:eastAsia="仿宋" w:hAnsi="仿宋" w:hint="eastAsia"/>
          <w:color w:val="000000" w:themeColor="text1"/>
          <w:sz w:val="30"/>
        </w:rPr>
        <w:t>%。其中：基本支出与上年</w:t>
      </w:r>
      <w:r w:rsidR="00CA2CDB">
        <w:rPr>
          <w:rFonts w:ascii="仿宋_GB2312" w:eastAsia="仿宋_GB2312" w:hAnsi="Calibri" w:cs="Times New Roman" w:hint="eastAsia"/>
          <w:color w:val="000000"/>
          <w:sz w:val="30"/>
          <w:szCs w:val="30"/>
        </w:rPr>
        <w:t>1012.38</w:t>
      </w:r>
      <w:r>
        <w:rPr>
          <w:rFonts w:ascii="仿宋" w:eastAsia="仿宋" w:hAnsi="仿宋" w:hint="eastAsia"/>
          <w:color w:val="000000" w:themeColor="text1"/>
          <w:sz w:val="30"/>
        </w:rPr>
        <w:t>万元对比，增加</w:t>
      </w:r>
      <w:r w:rsidR="00CA2CDB">
        <w:rPr>
          <w:rFonts w:ascii="仿宋" w:eastAsia="仿宋" w:hAnsi="仿宋" w:hint="eastAsia"/>
          <w:color w:val="000000" w:themeColor="text1"/>
          <w:sz w:val="30"/>
        </w:rPr>
        <w:t>126.48</w:t>
      </w:r>
      <w:r>
        <w:rPr>
          <w:rFonts w:ascii="仿宋" w:eastAsia="仿宋" w:hAnsi="仿宋" w:hint="eastAsia"/>
          <w:color w:val="000000" w:themeColor="text1"/>
          <w:sz w:val="30"/>
        </w:rPr>
        <w:t>万元，增</w:t>
      </w:r>
      <w:r>
        <w:rPr>
          <w:rFonts w:ascii="仿宋" w:eastAsia="仿宋" w:hAnsi="仿宋" w:hint="eastAsia"/>
          <w:color w:val="000000" w:themeColor="text1"/>
          <w:sz w:val="30"/>
        </w:rPr>
        <w:lastRenderedPageBreak/>
        <w:t>加了</w:t>
      </w:r>
      <w:r w:rsidR="00CA2CDB">
        <w:rPr>
          <w:rFonts w:ascii="仿宋" w:eastAsia="仿宋" w:hAnsi="仿宋" w:hint="eastAsia"/>
          <w:color w:val="000000" w:themeColor="text1"/>
          <w:sz w:val="30"/>
        </w:rPr>
        <w:t>11.1</w:t>
      </w:r>
      <w:r>
        <w:rPr>
          <w:rFonts w:ascii="仿宋" w:eastAsia="仿宋" w:hAnsi="仿宋" w:hint="eastAsia"/>
          <w:color w:val="000000" w:themeColor="text1"/>
          <w:sz w:val="30"/>
        </w:rPr>
        <w:t>；项目支出与上年</w:t>
      </w:r>
      <w:r w:rsidR="00CA2CDB">
        <w:rPr>
          <w:rFonts w:ascii="仿宋_GB2312" w:eastAsia="仿宋_GB2312" w:hAnsi="Calibri" w:cs="Times New Roman" w:hint="eastAsia"/>
          <w:color w:val="000000"/>
          <w:sz w:val="30"/>
          <w:szCs w:val="30"/>
        </w:rPr>
        <w:t>426.48</w:t>
      </w:r>
      <w:r>
        <w:rPr>
          <w:rFonts w:ascii="仿宋" w:eastAsia="仿宋" w:hAnsi="仿宋" w:hint="eastAsia"/>
          <w:color w:val="000000" w:themeColor="text1"/>
          <w:sz w:val="30"/>
        </w:rPr>
        <w:t>万元对比，增加</w:t>
      </w:r>
      <w:r w:rsidR="00CA2CDB">
        <w:rPr>
          <w:rFonts w:ascii="仿宋" w:eastAsia="仿宋" w:hAnsi="仿宋" w:hint="eastAsia"/>
          <w:color w:val="000000" w:themeColor="text1"/>
          <w:sz w:val="30"/>
        </w:rPr>
        <w:t>367.97</w:t>
      </w:r>
      <w:r>
        <w:rPr>
          <w:rFonts w:ascii="仿宋" w:eastAsia="仿宋" w:hAnsi="仿宋" w:hint="eastAsia"/>
          <w:color w:val="000000" w:themeColor="text1"/>
          <w:sz w:val="30"/>
        </w:rPr>
        <w:t>万元，增加了</w:t>
      </w:r>
      <w:r w:rsidR="00CA2CDB">
        <w:rPr>
          <w:rFonts w:ascii="仿宋" w:eastAsia="仿宋" w:hAnsi="仿宋" w:hint="eastAsia"/>
          <w:color w:val="000000" w:themeColor="text1"/>
          <w:sz w:val="30"/>
        </w:rPr>
        <w:t>46.31</w:t>
      </w:r>
      <w:r>
        <w:rPr>
          <w:rFonts w:ascii="仿宋" w:eastAsia="仿宋" w:hAnsi="仿宋" w:hint="eastAsia"/>
          <w:color w:val="000000" w:themeColor="text1"/>
          <w:sz w:val="30"/>
        </w:rPr>
        <w:t>%。主要原因是2019年是脱贫攻坚的关键的一年，各类扶贫项目资金下划到乡镇拨付且各类补贴增多</w:t>
      </w:r>
      <w:r>
        <w:rPr>
          <w:rFonts w:ascii="仿宋" w:eastAsia="仿宋" w:hAnsi="仿宋" w:hint="eastAsia"/>
          <w:color w:val="FF0000"/>
          <w:sz w:val="30"/>
        </w:rPr>
        <w:t>。</w:t>
      </w:r>
    </w:p>
    <w:p w:rsidR="00B0252E" w:rsidRDefault="009723F2">
      <w:pPr>
        <w:spacing w:line="600" w:lineRule="exact"/>
        <w:ind w:firstLine="600"/>
        <w:jc w:val="left"/>
        <w:rPr>
          <w:rFonts w:ascii="Times New Roman" w:eastAsia="Times New Roman" w:hAnsi="Times New Roman"/>
          <w:sz w:val="30"/>
        </w:rPr>
      </w:pPr>
      <w:r>
        <w:rPr>
          <w:rFonts w:ascii="楷体" w:eastAsia="楷体" w:hAnsi="楷体" w:hint="eastAsia"/>
          <w:sz w:val="30"/>
        </w:rPr>
        <w:t>（一）基本支出情况</w:t>
      </w:r>
    </w:p>
    <w:p w:rsidR="00B0252E" w:rsidRDefault="009723F2">
      <w:pPr>
        <w:spacing w:line="600" w:lineRule="exact"/>
        <w:ind w:firstLine="600"/>
        <w:jc w:val="left"/>
        <w:rPr>
          <w:rFonts w:ascii="仿宋" w:eastAsia="仿宋" w:hAnsi="仿宋"/>
          <w:sz w:val="30"/>
        </w:rPr>
      </w:pPr>
      <w:r>
        <w:rPr>
          <w:rFonts w:ascii="仿宋" w:eastAsia="仿宋" w:hAnsi="仿宋" w:hint="eastAsia"/>
          <w:sz w:val="30"/>
        </w:rPr>
        <w:t>2019年度用于保障德宏州梁河县</w:t>
      </w:r>
      <w:r w:rsidR="007D14E4">
        <w:rPr>
          <w:rFonts w:ascii="仿宋" w:eastAsia="仿宋" w:hAnsi="仿宋" w:hint="eastAsia"/>
          <w:sz w:val="30"/>
        </w:rPr>
        <w:t>大厂</w:t>
      </w:r>
      <w:r>
        <w:rPr>
          <w:rFonts w:ascii="仿宋" w:eastAsia="仿宋" w:hAnsi="仿宋" w:hint="eastAsia"/>
          <w:sz w:val="30"/>
        </w:rPr>
        <w:t>乡机关、下属事业单位等机构正常运转的日常支出</w:t>
      </w:r>
      <w:r w:rsidR="00CA2CDB">
        <w:rPr>
          <w:rFonts w:ascii="仿宋" w:eastAsia="仿宋" w:hAnsi="仿宋" w:hint="eastAsia"/>
          <w:sz w:val="30"/>
        </w:rPr>
        <w:t>1138.85</w:t>
      </w:r>
      <w:r>
        <w:rPr>
          <w:rFonts w:ascii="仿宋" w:eastAsia="仿宋" w:hAnsi="仿宋" w:hint="eastAsia"/>
          <w:sz w:val="30"/>
        </w:rPr>
        <w:t>万元。</w:t>
      </w:r>
    </w:p>
    <w:p w:rsidR="00B0252E" w:rsidRDefault="009723F2">
      <w:pPr>
        <w:spacing w:line="600" w:lineRule="exact"/>
        <w:ind w:firstLine="600"/>
        <w:jc w:val="left"/>
        <w:rPr>
          <w:rFonts w:ascii="仿宋" w:eastAsia="仿宋" w:hAnsi="仿宋"/>
          <w:color w:val="000000"/>
          <w:sz w:val="30"/>
        </w:rPr>
      </w:pPr>
      <w:r>
        <w:rPr>
          <w:rFonts w:ascii="仿宋" w:eastAsia="仿宋" w:hAnsi="仿宋" w:hint="eastAsia"/>
          <w:noProof/>
          <w:color w:val="FF0000"/>
          <w:sz w:val="30"/>
        </w:rPr>
        <w:drawing>
          <wp:anchor distT="0" distB="0" distL="114300" distR="114300" simplePos="0" relativeHeight="251661312" behindDoc="0" locked="0" layoutInCell="1" allowOverlap="1">
            <wp:simplePos x="0" y="0"/>
            <wp:positionH relativeFrom="column">
              <wp:posOffset>240665</wp:posOffset>
            </wp:positionH>
            <wp:positionV relativeFrom="page">
              <wp:posOffset>5455920</wp:posOffset>
            </wp:positionV>
            <wp:extent cx="5036820" cy="3328670"/>
            <wp:effectExtent l="0" t="0" r="0" b="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eastAsia="仿宋" w:hAnsi="仿宋" w:hint="eastAsia"/>
          <w:color w:val="000000" w:themeColor="text1"/>
          <w:sz w:val="30"/>
        </w:rPr>
        <w:t>基本支出与上年</w:t>
      </w:r>
      <w:r w:rsidR="00CA2CDB">
        <w:rPr>
          <w:rFonts w:ascii="仿宋_GB2312" w:eastAsia="仿宋_GB2312" w:hAnsi="Calibri" w:cs="Times New Roman" w:hint="eastAsia"/>
          <w:color w:val="000000"/>
          <w:sz w:val="30"/>
          <w:szCs w:val="30"/>
        </w:rPr>
        <w:t>864.94</w:t>
      </w:r>
      <w:r>
        <w:rPr>
          <w:rFonts w:ascii="仿宋" w:eastAsia="仿宋" w:hAnsi="仿宋" w:hint="eastAsia"/>
          <w:color w:val="000000" w:themeColor="text1"/>
          <w:sz w:val="30"/>
        </w:rPr>
        <w:t>万元对比，增加</w:t>
      </w:r>
      <w:r w:rsidR="00CA2CDB">
        <w:rPr>
          <w:rFonts w:ascii="仿宋" w:eastAsia="仿宋" w:hAnsi="仿宋" w:hint="eastAsia"/>
          <w:color w:val="000000" w:themeColor="text1"/>
          <w:sz w:val="30"/>
        </w:rPr>
        <w:t>273.91</w:t>
      </w:r>
      <w:r>
        <w:rPr>
          <w:rFonts w:ascii="仿宋" w:eastAsia="仿宋" w:hAnsi="仿宋" w:hint="eastAsia"/>
          <w:color w:val="000000" w:themeColor="text1"/>
          <w:sz w:val="30"/>
        </w:rPr>
        <w:t>万元，增加了</w:t>
      </w:r>
      <w:r w:rsidR="00CA2CDB">
        <w:rPr>
          <w:rFonts w:ascii="仿宋" w:eastAsia="仿宋" w:hAnsi="仿宋" w:hint="eastAsia"/>
          <w:color w:val="000000" w:themeColor="text1"/>
          <w:sz w:val="30"/>
        </w:rPr>
        <w:t>24.05</w:t>
      </w:r>
      <w:r>
        <w:rPr>
          <w:rFonts w:ascii="仿宋" w:eastAsia="仿宋" w:hAnsi="仿宋" w:hint="eastAsia"/>
          <w:color w:val="000000" w:themeColor="text1"/>
          <w:sz w:val="30"/>
        </w:rPr>
        <w:t>%；增加的主要原因是今年扶贫力度加大各类补贴增多。</w:t>
      </w:r>
      <w:r>
        <w:rPr>
          <w:rFonts w:ascii="仿宋" w:eastAsia="仿宋" w:hAnsi="仿宋" w:hint="eastAsia"/>
          <w:sz w:val="30"/>
        </w:rPr>
        <w:t>包括基本工资、津贴补贴等人员经费支出占基本支出的</w:t>
      </w:r>
      <w:r w:rsidR="00CA2CDB">
        <w:rPr>
          <w:rFonts w:ascii="仿宋" w:eastAsia="仿宋" w:hAnsi="仿宋" w:hint="eastAsia"/>
          <w:sz w:val="30"/>
        </w:rPr>
        <w:t>67.36</w:t>
      </w:r>
      <w:r>
        <w:rPr>
          <w:rFonts w:ascii="仿宋" w:eastAsia="仿宋" w:hAnsi="仿宋" w:hint="eastAsia"/>
          <w:sz w:val="30"/>
        </w:rPr>
        <w:t>%；办公费、印刷费、水电费、办公设备购置等日常公用经费占基本支出的</w:t>
      </w:r>
      <w:r w:rsidR="002C0D65">
        <w:rPr>
          <w:rFonts w:ascii="仿宋" w:eastAsia="仿宋" w:hAnsi="仿宋" w:hint="eastAsia"/>
          <w:sz w:val="30"/>
        </w:rPr>
        <w:t>14.82</w:t>
      </w:r>
      <w:r>
        <w:rPr>
          <w:rFonts w:ascii="仿宋" w:eastAsia="仿宋" w:hAnsi="仿宋" w:hint="eastAsia"/>
          <w:color w:val="000000"/>
          <w:sz w:val="30"/>
        </w:rPr>
        <w:t>%</w:t>
      </w:r>
      <w:r w:rsidR="00CA2CDB">
        <w:rPr>
          <w:rFonts w:ascii="仿宋" w:eastAsia="仿宋" w:hAnsi="仿宋" w:hint="eastAsia"/>
          <w:color w:val="000000"/>
          <w:sz w:val="30"/>
        </w:rPr>
        <w:t>，对个人和家庭的补助占基本支出的17.82%。</w:t>
      </w:r>
    </w:p>
    <w:p w:rsidR="00B0252E" w:rsidRDefault="009723F2">
      <w:pPr>
        <w:spacing w:line="600" w:lineRule="exact"/>
        <w:ind w:firstLine="600"/>
        <w:jc w:val="left"/>
        <w:rPr>
          <w:rFonts w:ascii="Times New Roman" w:eastAsia="Times New Roman" w:hAnsi="Times New Roman"/>
          <w:sz w:val="30"/>
        </w:rPr>
      </w:pPr>
      <w:r>
        <w:rPr>
          <w:rFonts w:ascii="楷体" w:eastAsia="楷体" w:hAnsi="楷体" w:hint="eastAsia"/>
          <w:sz w:val="30"/>
        </w:rPr>
        <w:lastRenderedPageBreak/>
        <w:t>（二）项目支出情况</w:t>
      </w:r>
    </w:p>
    <w:p w:rsidR="00B0252E" w:rsidRDefault="009723F2">
      <w:pPr>
        <w:spacing w:line="600" w:lineRule="exact"/>
        <w:ind w:firstLine="600"/>
        <w:jc w:val="left"/>
        <w:rPr>
          <w:rFonts w:ascii="仿宋" w:eastAsia="仿宋" w:hAnsi="仿宋"/>
          <w:color w:val="000000" w:themeColor="text1"/>
          <w:sz w:val="30"/>
        </w:rPr>
      </w:pPr>
      <w:r>
        <w:rPr>
          <w:rFonts w:ascii="仿宋" w:eastAsia="仿宋" w:hAnsi="仿宋" w:hint="eastAsia"/>
          <w:sz w:val="30"/>
        </w:rPr>
        <w:t>2019年度用于保障德宏州梁河县</w:t>
      </w:r>
      <w:r w:rsidR="007D14E4">
        <w:rPr>
          <w:rFonts w:ascii="仿宋" w:eastAsia="仿宋" w:hAnsi="仿宋" w:hint="eastAsia"/>
          <w:sz w:val="30"/>
        </w:rPr>
        <w:t>大厂</w:t>
      </w:r>
      <w:r>
        <w:rPr>
          <w:rFonts w:ascii="仿宋" w:eastAsia="仿宋" w:hAnsi="仿宋" w:hint="eastAsia"/>
          <w:sz w:val="30"/>
        </w:rPr>
        <w:t>乡机构、下属事业单位等机构为完成特定的行政工作任务或事业发展目标，用于专项业务工作的经费支出</w:t>
      </w:r>
      <w:r w:rsidR="002C0D65">
        <w:rPr>
          <w:rFonts w:ascii="仿宋" w:eastAsia="仿宋" w:hAnsi="仿宋" w:hint="eastAsia"/>
          <w:sz w:val="30"/>
        </w:rPr>
        <w:t>794.45</w:t>
      </w:r>
      <w:r>
        <w:rPr>
          <w:rFonts w:ascii="仿宋" w:eastAsia="仿宋" w:hAnsi="仿宋" w:hint="eastAsia"/>
          <w:sz w:val="30"/>
        </w:rPr>
        <w:t>万元。</w:t>
      </w:r>
      <w:r>
        <w:rPr>
          <w:rFonts w:ascii="仿宋" w:eastAsia="仿宋" w:hAnsi="仿宋" w:hint="eastAsia"/>
          <w:color w:val="000000" w:themeColor="text1"/>
          <w:sz w:val="30"/>
        </w:rPr>
        <w:t>项目支出与上年</w:t>
      </w:r>
      <w:r w:rsidR="002C0D65">
        <w:rPr>
          <w:rFonts w:ascii="仿宋_GB2312" w:eastAsia="仿宋_GB2312" w:hint="eastAsia"/>
          <w:sz w:val="30"/>
          <w:szCs w:val="30"/>
        </w:rPr>
        <w:t>426.48</w:t>
      </w:r>
      <w:r>
        <w:rPr>
          <w:rFonts w:ascii="仿宋" w:eastAsia="仿宋" w:hAnsi="仿宋" w:hint="eastAsia"/>
          <w:color w:val="000000" w:themeColor="text1"/>
          <w:sz w:val="30"/>
        </w:rPr>
        <w:t>万元对比，增加274.41万元，增加了</w:t>
      </w:r>
      <w:r w:rsidR="002C0D65">
        <w:rPr>
          <w:rFonts w:ascii="仿宋" w:eastAsia="仿宋" w:hAnsi="仿宋" w:hint="eastAsia"/>
          <w:color w:val="000000" w:themeColor="text1"/>
          <w:sz w:val="30"/>
        </w:rPr>
        <w:t>46.32</w:t>
      </w:r>
      <w:r>
        <w:rPr>
          <w:rFonts w:ascii="仿宋" w:eastAsia="仿宋" w:hAnsi="仿宋" w:hint="eastAsia"/>
          <w:color w:val="000000" w:themeColor="text1"/>
          <w:sz w:val="30"/>
        </w:rPr>
        <w:t xml:space="preserve">%，增加的主要原因2019年是脱贫攻坚的关键的一年，各类扶贫项目资金下划到乡镇拨付。  </w:t>
      </w:r>
    </w:p>
    <w:p w:rsidR="00390A37" w:rsidRDefault="009723F2">
      <w:pPr>
        <w:spacing w:line="600" w:lineRule="exact"/>
        <w:ind w:firstLine="600"/>
        <w:jc w:val="left"/>
        <w:rPr>
          <w:rFonts w:ascii="仿宋" w:eastAsia="仿宋" w:hAnsi="仿宋"/>
          <w:color w:val="000000" w:themeColor="text1"/>
          <w:sz w:val="30"/>
        </w:rPr>
      </w:pPr>
      <w:r>
        <w:rPr>
          <w:rFonts w:ascii="Times New Roman" w:eastAsia="仿宋" w:hAnsi="Times New Roman" w:hint="eastAsia"/>
          <w:noProof/>
          <w:color w:val="FF0000"/>
          <w:sz w:val="30"/>
        </w:rPr>
        <w:drawing>
          <wp:anchor distT="0" distB="0" distL="114300" distR="114300" simplePos="0" relativeHeight="251662336" behindDoc="0" locked="0" layoutInCell="1" allowOverlap="1">
            <wp:simplePos x="0" y="0"/>
            <wp:positionH relativeFrom="column">
              <wp:posOffset>186690</wp:posOffset>
            </wp:positionH>
            <wp:positionV relativeFrom="page">
              <wp:posOffset>3478530</wp:posOffset>
            </wp:positionV>
            <wp:extent cx="5241290" cy="3810000"/>
            <wp:effectExtent l="0" t="0" r="0" b="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 w:eastAsia="仿宋" w:hAnsi="仿宋" w:hint="eastAsia"/>
          <w:color w:val="000000" w:themeColor="text1"/>
          <w:sz w:val="30"/>
        </w:rPr>
        <w:t>主要项目为2019年</w:t>
      </w:r>
      <w:r w:rsidR="000C592E">
        <w:rPr>
          <w:rFonts w:ascii="仿宋" w:eastAsia="仿宋" w:hAnsi="仿宋" w:hint="eastAsia"/>
          <w:color w:val="000000" w:themeColor="text1"/>
          <w:sz w:val="30"/>
        </w:rPr>
        <w:t>大厂乡村集体贸市场综合提升项目160</w:t>
      </w:r>
      <w:r>
        <w:rPr>
          <w:rFonts w:ascii="仿宋" w:eastAsia="仿宋" w:hAnsi="仿宋" w:hint="eastAsia"/>
          <w:color w:val="000000" w:themeColor="text1"/>
          <w:sz w:val="30"/>
        </w:rPr>
        <w:t>万元，</w:t>
      </w:r>
      <w:r w:rsidR="007D14E4">
        <w:rPr>
          <w:rFonts w:ascii="仿宋" w:eastAsia="仿宋" w:hAnsi="仿宋" w:hint="eastAsia"/>
          <w:color w:val="000000" w:themeColor="text1"/>
          <w:sz w:val="30"/>
        </w:rPr>
        <w:t>大厂乡</w:t>
      </w:r>
      <w:r w:rsidR="000C592E" w:rsidRPr="000C592E">
        <w:rPr>
          <w:rFonts w:ascii="仿宋" w:eastAsia="仿宋" w:hAnsi="仿宋" w:hint="eastAsia"/>
          <w:color w:val="000000" w:themeColor="text1"/>
          <w:sz w:val="30"/>
        </w:rPr>
        <w:t>建档立卡贫困户人居环境整治（改院及改厨为主）</w:t>
      </w:r>
      <w:r w:rsidR="000C592E">
        <w:rPr>
          <w:rFonts w:ascii="仿宋" w:eastAsia="仿宋" w:hAnsi="仿宋" w:hint="eastAsia"/>
          <w:color w:val="000000" w:themeColor="text1"/>
          <w:sz w:val="30"/>
        </w:rPr>
        <w:t>115</w:t>
      </w:r>
      <w:r>
        <w:rPr>
          <w:rFonts w:ascii="仿宋" w:eastAsia="仿宋" w:hAnsi="仿宋" w:hint="eastAsia"/>
          <w:color w:val="000000" w:themeColor="text1"/>
          <w:sz w:val="30"/>
        </w:rPr>
        <w:t>万元，</w:t>
      </w:r>
      <w:r w:rsidR="000C592E">
        <w:rPr>
          <w:rFonts w:ascii="仿宋" w:eastAsia="仿宋" w:hAnsi="仿宋" w:hint="eastAsia"/>
          <w:color w:val="000000" w:themeColor="text1"/>
          <w:sz w:val="30"/>
        </w:rPr>
        <w:t>大厂乡</w:t>
      </w:r>
      <w:r w:rsidR="000C592E" w:rsidRPr="000C592E">
        <w:rPr>
          <w:rFonts w:ascii="仿宋" w:eastAsia="仿宋" w:hAnsi="仿宋" w:hint="eastAsia"/>
          <w:color w:val="000000" w:themeColor="text1"/>
          <w:sz w:val="30"/>
        </w:rPr>
        <w:t>建档立卡户劳动力转移就业补助资金</w:t>
      </w:r>
      <w:r w:rsidR="000C592E">
        <w:rPr>
          <w:rFonts w:ascii="仿宋" w:eastAsia="仿宋" w:hAnsi="仿宋" w:hint="eastAsia"/>
          <w:color w:val="000000" w:themeColor="text1"/>
          <w:sz w:val="30"/>
        </w:rPr>
        <w:t>110</w:t>
      </w:r>
      <w:r>
        <w:rPr>
          <w:rFonts w:ascii="仿宋" w:eastAsia="仿宋" w:hAnsi="仿宋" w:hint="eastAsia"/>
          <w:color w:val="000000" w:themeColor="text1"/>
          <w:sz w:val="30"/>
        </w:rPr>
        <w:t>万元，</w:t>
      </w:r>
      <w:r w:rsidR="000C592E" w:rsidRPr="000C592E">
        <w:rPr>
          <w:rFonts w:ascii="仿宋" w:eastAsia="仿宋" w:hAnsi="仿宋" w:hint="eastAsia"/>
          <w:color w:val="000000" w:themeColor="text1"/>
          <w:sz w:val="30"/>
        </w:rPr>
        <w:t>州级安排财政专项扶贫资金-大厂乡村内道路建设项目</w:t>
      </w:r>
      <w:r w:rsidR="000C592E">
        <w:rPr>
          <w:rFonts w:ascii="仿宋" w:eastAsia="仿宋" w:hAnsi="仿宋" w:hint="eastAsia"/>
          <w:color w:val="000000" w:themeColor="text1"/>
          <w:sz w:val="30"/>
        </w:rPr>
        <w:t>131</w:t>
      </w:r>
      <w:r>
        <w:rPr>
          <w:rFonts w:ascii="仿宋" w:eastAsia="仿宋" w:hAnsi="仿宋" w:hint="eastAsia"/>
          <w:color w:val="000000" w:themeColor="text1"/>
          <w:sz w:val="30"/>
        </w:rPr>
        <w:t>万元，2019</w:t>
      </w:r>
      <w:r>
        <w:rPr>
          <w:rFonts w:ascii="仿宋" w:eastAsia="仿宋" w:hAnsi="仿宋" w:hint="eastAsia"/>
          <w:color w:val="000000" w:themeColor="text1"/>
          <w:sz w:val="30"/>
        </w:rPr>
        <w:lastRenderedPageBreak/>
        <w:t>年</w:t>
      </w:r>
      <w:r w:rsidR="000C592E" w:rsidRPr="000C592E">
        <w:rPr>
          <w:rFonts w:ascii="仿宋" w:eastAsia="仿宋" w:hAnsi="仿宋" w:hint="eastAsia"/>
          <w:color w:val="000000" w:themeColor="text1"/>
          <w:sz w:val="30"/>
        </w:rPr>
        <w:t>梁河县大厂乡村内道路建设项目</w:t>
      </w:r>
      <w:r w:rsidR="000C592E">
        <w:rPr>
          <w:rFonts w:ascii="仿宋" w:eastAsia="仿宋" w:hAnsi="仿宋" w:hint="eastAsia"/>
          <w:color w:val="000000" w:themeColor="text1"/>
          <w:sz w:val="30"/>
        </w:rPr>
        <w:t>60万元，大厂乡</w:t>
      </w:r>
      <w:r w:rsidR="000C592E" w:rsidRPr="000C592E">
        <w:rPr>
          <w:rFonts w:ascii="仿宋" w:eastAsia="仿宋" w:hAnsi="仿宋" w:hint="eastAsia"/>
          <w:color w:val="000000" w:themeColor="text1"/>
          <w:sz w:val="30"/>
        </w:rPr>
        <w:t>大生基道路硬化建设款</w:t>
      </w:r>
      <w:r w:rsidR="000C592E">
        <w:rPr>
          <w:rFonts w:ascii="仿宋" w:eastAsia="仿宋" w:hAnsi="仿宋" w:hint="eastAsia"/>
          <w:color w:val="000000" w:themeColor="text1"/>
          <w:sz w:val="30"/>
        </w:rPr>
        <w:t>25万元</w:t>
      </w:r>
      <w:r w:rsidR="00390A37">
        <w:rPr>
          <w:rFonts w:ascii="仿宋" w:eastAsia="仿宋" w:hAnsi="仿宋" w:hint="eastAsia"/>
          <w:color w:val="000000" w:themeColor="text1"/>
          <w:sz w:val="30"/>
        </w:rPr>
        <w:t>，大厂乡</w:t>
      </w:r>
      <w:r w:rsidR="00390A37" w:rsidRPr="00390A37">
        <w:rPr>
          <w:rFonts w:ascii="仿宋" w:eastAsia="仿宋" w:hAnsi="仿宋" w:hint="eastAsia"/>
          <w:color w:val="000000" w:themeColor="text1"/>
          <w:sz w:val="30"/>
        </w:rPr>
        <w:t>建档立卡户人居环境及道路建设</w:t>
      </w:r>
      <w:r w:rsidR="00390A37">
        <w:rPr>
          <w:rFonts w:ascii="仿宋" w:eastAsia="仿宋" w:hAnsi="仿宋" w:hint="eastAsia"/>
          <w:color w:val="000000" w:themeColor="text1"/>
          <w:sz w:val="30"/>
        </w:rPr>
        <w:t>资金25万元，大厂乡</w:t>
      </w:r>
      <w:r w:rsidR="000C592E" w:rsidRPr="000C592E">
        <w:rPr>
          <w:rFonts w:ascii="仿宋" w:eastAsia="仿宋" w:hAnsi="仿宋" w:hint="eastAsia"/>
          <w:color w:val="000000" w:themeColor="text1"/>
          <w:sz w:val="30"/>
        </w:rPr>
        <w:t>永安寨村茶叶合作社建设</w:t>
      </w:r>
      <w:r w:rsidR="00390A37">
        <w:rPr>
          <w:rFonts w:ascii="仿宋" w:eastAsia="仿宋" w:hAnsi="仿宋" w:hint="eastAsia"/>
          <w:color w:val="000000" w:themeColor="text1"/>
          <w:sz w:val="30"/>
        </w:rPr>
        <w:t>资金50万元等。</w:t>
      </w:r>
    </w:p>
    <w:p w:rsidR="00B0252E" w:rsidRDefault="009723F2">
      <w:pPr>
        <w:spacing w:line="600" w:lineRule="exact"/>
        <w:ind w:firstLine="600"/>
        <w:jc w:val="left"/>
        <w:rPr>
          <w:rFonts w:ascii="Times New Roman" w:eastAsia="Times New Roman" w:hAnsi="Times New Roman"/>
          <w:sz w:val="30"/>
        </w:rPr>
      </w:pPr>
      <w:r>
        <w:rPr>
          <w:rFonts w:ascii="黑体" w:eastAsia="黑体" w:hAnsi="黑体" w:hint="eastAsia"/>
          <w:sz w:val="30"/>
        </w:rPr>
        <w:t>三、一般公共预算财政拨款支出决算情况说明</w:t>
      </w:r>
    </w:p>
    <w:p w:rsidR="00B0252E" w:rsidRDefault="009723F2">
      <w:pPr>
        <w:spacing w:line="600" w:lineRule="exact"/>
        <w:ind w:firstLine="600"/>
        <w:jc w:val="left"/>
        <w:rPr>
          <w:rFonts w:ascii="Times New Roman" w:eastAsia="Times New Roman" w:hAnsi="Times New Roman"/>
          <w:sz w:val="30"/>
        </w:rPr>
      </w:pPr>
      <w:r>
        <w:rPr>
          <w:rFonts w:ascii="楷体" w:eastAsia="楷体" w:hAnsi="楷体" w:hint="eastAsia"/>
          <w:sz w:val="30"/>
        </w:rPr>
        <w:t>（一）一般公共预算财政拨款支出决算总体情况</w:t>
      </w:r>
    </w:p>
    <w:p w:rsidR="00B0252E" w:rsidRDefault="009723F2">
      <w:pPr>
        <w:spacing w:line="600" w:lineRule="exact"/>
        <w:ind w:firstLine="600"/>
        <w:jc w:val="left"/>
        <w:rPr>
          <w:rFonts w:ascii="楷体" w:eastAsia="楷体" w:hAnsi="楷体"/>
          <w:sz w:val="30"/>
        </w:rPr>
      </w:pPr>
      <w:r>
        <w:rPr>
          <w:rFonts w:ascii="仿宋" w:eastAsia="仿宋" w:hAnsi="仿宋" w:hint="eastAsia"/>
          <w:sz w:val="30"/>
        </w:rPr>
        <w:t>德宏州梁河县</w:t>
      </w:r>
      <w:r w:rsidR="007D14E4">
        <w:rPr>
          <w:rFonts w:ascii="仿宋" w:eastAsia="仿宋" w:hAnsi="仿宋" w:hint="eastAsia"/>
          <w:sz w:val="30"/>
        </w:rPr>
        <w:t>大厂</w:t>
      </w:r>
      <w:r>
        <w:rPr>
          <w:rFonts w:ascii="仿宋" w:eastAsia="仿宋" w:hAnsi="仿宋" w:hint="eastAsia"/>
          <w:sz w:val="30"/>
        </w:rPr>
        <w:t>乡部门2019年度一般公共预算财政拨款支出</w:t>
      </w:r>
      <w:r w:rsidR="00390A37">
        <w:rPr>
          <w:rFonts w:ascii="仿宋" w:eastAsia="仿宋" w:hAnsi="仿宋" w:hint="eastAsia"/>
          <w:kern w:val="0"/>
          <w:sz w:val="30"/>
        </w:rPr>
        <w:t>1823.47</w:t>
      </w:r>
      <w:r>
        <w:rPr>
          <w:rFonts w:ascii="仿宋" w:eastAsia="仿宋" w:hAnsi="仿宋" w:hint="eastAsia"/>
          <w:kern w:val="0"/>
          <w:sz w:val="30"/>
        </w:rPr>
        <w:t>万元</w:t>
      </w:r>
      <w:r>
        <w:rPr>
          <w:rFonts w:ascii="Times New Roman" w:eastAsia="Times New Roman" w:hAnsi="Times New Roman"/>
          <w:kern w:val="0"/>
          <w:sz w:val="30"/>
        </w:rPr>
        <w:t>,</w:t>
      </w:r>
      <w:r>
        <w:rPr>
          <w:rFonts w:ascii="仿宋" w:eastAsia="仿宋" w:hAnsi="仿宋" w:hint="eastAsia"/>
          <w:kern w:val="0"/>
          <w:sz w:val="30"/>
        </w:rPr>
        <w:t>占本年支出合计的</w:t>
      </w:r>
      <w:r w:rsidR="00390A37">
        <w:rPr>
          <w:rFonts w:ascii="仿宋" w:eastAsia="仿宋" w:hAnsi="仿宋" w:hint="eastAsia"/>
          <w:sz w:val="30"/>
        </w:rPr>
        <w:t>94.32</w:t>
      </w:r>
      <w:r>
        <w:rPr>
          <w:rFonts w:ascii="仿宋" w:eastAsia="仿宋" w:hAnsi="仿宋" w:hint="eastAsia"/>
          <w:color w:val="000000" w:themeColor="text1"/>
          <w:sz w:val="30"/>
        </w:rPr>
        <w:t>%</w:t>
      </w:r>
      <w:r>
        <w:rPr>
          <w:rFonts w:ascii="仿宋" w:eastAsia="仿宋" w:hAnsi="仿宋" w:hint="eastAsia"/>
          <w:color w:val="000000" w:themeColor="text1"/>
          <w:kern w:val="0"/>
          <w:sz w:val="30"/>
        </w:rPr>
        <w:t>。与上年</w:t>
      </w:r>
      <w:r w:rsidR="00390A37">
        <w:rPr>
          <w:rFonts w:ascii="仿宋_GB2312" w:eastAsia="仿宋_GB2312" w:hint="eastAsia"/>
          <w:sz w:val="30"/>
          <w:szCs w:val="30"/>
        </w:rPr>
        <w:t>1291.46</w:t>
      </w:r>
      <w:r>
        <w:rPr>
          <w:rFonts w:ascii="仿宋" w:eastAsia="仿宋" w:hAnsi="仿宋" w:hint="eastAsia"/>
          <w:color w:val="000000" w:themeColor="text1"/>
          <w:kern w:val="0"/>
          <w:sz w:val="30"/>
        </w:rPr>
        <w:t>万元对比</w:t>
      </w:r>
      <w:r w:rsidR="00390A37">
        <w:rPr>
          <w:rFonts w:ascii="仿宋" w:eastAsia="仿宋" w:hAnsi="仿宋" w:hint="eastAsia"/>
          <w:color w:val="000000" w:themeColor="text1"/>
          <w:kern w:val="0"/>
          <w:sz w:val="30"/>
        </w:rPr>
        <w:t>，</w:t>
      </w:r>
      <w:r>
        <w:rPr>
          <w:rFonts w:ascii="仿宋" w:eastAsia="仿宋" w:hAnsi="仿宋" w:hint="eastAsia"/>
          <w:color w:val="000000" w:themeColor="text1"/>
          <w:kern w:val="0"/>
          <w:sz w:val="30"/>
        </w:rPr>
        <w:t>增加</w:t>
      </w:r>
      <w:r w:rsidR="00390A37">
        <w:rPr>
          <w:rFonts w:ascii="仿宋" w:eastAsia="仿宋" w:hAnsi="仿宋" w:hint="eastAsia"/>
          <w:color w:val="000000" w:themeColor="text1"/>
          <w:kern w:val="0"/>
          <w:sz w:val="30"/>
        </w:rPr>
        <w:t>532.01</w:t>
      </w:r>
      <w:r>
        <w:rPr>
          <w:rFonts w:ascii="仿宋" w:eastAsia="仿宋" w:hAnsi="仿宋" w:hint="eastAsia"/>
          <w:color w:val="000000" w:themeColor="text1"/>
          <w:kern w:val="0"/>
          <w:sz w:val="30"/>
        </w:rPr>
        <w:t>万元，增加</w:t>
      </w:r>
      <w:r w:rsidR="00390A37">
        <w:rPr>
          <w:rFonts w:ascii="仿宋" w:eastAsia="仿宋" w:hAnsi="仿宋" w:hint="eastAsia"/>
          <w:color w:val="000000" w:themeColor="text1"/>
          <w:kern w:val="0"/>
          <w:sz w:val="30"/>
        </w:rPr>
        <w:t>,41.19%</w:t>
      </w:r>
      <w:r>
        <w:rPr>
          <w:rFonts w:ascii="仿宋" w:eastAsia="仿宋" w:hAnsi="仿宋"/>
          <w:color w:val="000000" w:themeColor="text1"/>
          <w:kern w:val="0"/>
          <w:sz w:val="30"/>
        </w:rPr>
        <w:t>,</w:t>
      </w:r>
      <w:r>
        <w:rPr>
          <w:rFonts w:ascii="仿宋" w:eastAsia="仿宋" w:hAnsi="仿宋" w:hint="eastAsia"/>
          <w:color w:val="000000" w:themeColor="text1"/>
          <w:kern w:val="0"/>
          <w:sz w:val="30"/>
        </w:rPr>
        <w:t>增加的主要原因是2</w:t>
      </w:r>
      <w:r>
        <w:rPr>
          <w:rFonts w:ascii="仿宋" w:eastAsia="仿宋" w:hAnsi="仿宋" w:hint="eastAsia"/>
          <w:color w:val="000000" w:themeColor="text1"/>
          <w:sz w:val="30"/>
        </w:rPr>
        <w:t>019年是脱贫攻坚的关键的一年，各类扶贫项目资金下划到乡镇拨付且各类补贴增多</w:t>
      </w:r>
      <w:r>
        <w:rPr>
          <w:rFonts w:ascii="仿宋" w:eastAsia="仿宋" w:hAnsi="仿宋" w:hint="eastAsia"/>
          <w:color w:val="000000" w:themeColor="text1"/>
          <w:kern w:val="0"/>
          <w:sz w:val="30"/>
        </w:rPr>
        <w:t>。</w:t>
      </w:r>
    </w:p>
    <w:p w:rsidR="00B0252E" w:rsidRDefault="009723F2">
      <w:pPr>
        <w:spacing w:line="600" w:lineRule="exact"/>
        <w:ind w:firstLine="600"/>
        <w:jc w:val="left"/>
        <w:rPr>
          <w:rFonts w:ascii="Times New Roman" w:eastAsia="Times New Roman" w:hAnsi="Times New Roman"/>
          <w:kern w:val="0"/>
          <w:sz w:val="30"/>
        </w:rPr>
      </w:pPr>
      <w:bookmarkStart w:id="0" w:name="_GoBack"/>
      <w:r>
        <w:rPr>
          <w:rFonts w:ascii="Times New Roman" w:eastAsia="仿宋" w:hAnsi="Times New Roman" w:hint="eastAsia"/>
          <w:noProof/>
          <w:color w:val="FF0000"/>
          <w:kern w:val="0"/>
          <w:sz w:val="30"/>
        </w:rPr>
        <w:drawing>
          <wp:anchor distT="0" distB="0" distL="114300" distR="114300" simplePos="0" relativeHeight="251660288" behindDoc="0" locked="0" layoutInCell="1" allowOverlap="1">
            <wp:simplePos x="0" y="0"/>
            <wp:positionH relativeFrom="column">
              <wp:posOffset>-127635</wp:posOffset>
            </wp:positionH>
            <wp:positionV relativeFrom="page">
              <wp:posOffset>6635750</wp:posOffset>
            </wp:positionV>
            <wp:extent cx="5630545" cy="3352800"/>
            <wp:effectExtent l="0" t="0" r="0" b="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End w:id="0"/>
      <w:r>
        <w:rPr>
          <w:rFonts w:ascii="楷体" w:eastAsia="楷体" w:hAnsi="楷体" w:hint="eastAsia"/>
          <w:sz w:val="30"/>
        </w:rPr>
        <w:t>（二）一般公共预算财政拨款支出决算具体情况</w:t>
      </w:r>
    </w:p>
    <w:p w:rsidR="00B0252E" w:rsidRDefault="009723F2">
      <w:pPr>
        <w:spacing w:line="600" w:lineRule="exact"/>
        <w:ind w:firstLine="600"/>
        <w:jc w:val="left"/>
        <w:rPr>
          <w:rFonts w:ascii="仿宋" w:eastAsia="仿宋" w:hAnsi="仿宋"/>
          <w:color w:val="000000" w:themeColor="text1"/>
          <w:kern w:val="0"/>
          <w:sz w:val="30"/>
        </w:rPr>
      </w:pPr>
      <w:r>
        <w:rPr>
          <w:rFonts w:ascii="仿宋_GB2312" w:eastAsia="仿宋_GB2312" w:hAnsi="仿宋_GB2312" w:hint="eastAsia"/>
          <w:color w:val="000000" w:themeColor="text1"/>
          <w:kern w:val="0"/>
          <w:sz w:val="30"/>
        </w:rPr>
        <w:t xml:space="preserve"> </w:t>
      </w:r>
      <w:r>
        <w:rPr>
          <w:rFonts w:ascii="仿宋" w:eastAsia="仿宋" w:hAnsi="仿宋" w:hint="eastAsia"/>
          <w:color w:val="000000" w:themeColor="text1"/>
          <w:kern w:val="0"/>
          <w:sz w:val="30"/>
        </w:rPr>
        <w:t xml:space="preserve"> 1.一般公共服务（类）支出</w:t>
      </w:r>
      <w:r w:rsidR="00180578">
        <w:rPr>
          <w:rFonts w:ascii="仿宋" w:eastAsia="仿宋" w:hAnsi="仿宋" w:hint="eastAsia"/>
          <w:color w:val="000000" w:themeColor="text1"/>
          <w:kern w:val="0"/>
          <w:sz w:val="30"/>
        </w:rPr>
        <w:t>497.11</w:t>
      </w:r>
      <w:r>
        <w:rPr>
          <w:rFonts w:ascii="仿宋" w:eastAsia="仿宋" w:hAnsi="仿宋" w:hint="eastAsia"/>
          <w:color w:val="000000" w:themeColor="text1"/>
          <w:kern w:val="0"/>
          <w:sz w:val="30"/>
        </w:rPr>
        <w:t>万元，占一般公共预算财政拨款总支出的</w:t>
      </w:r>
      <w:r w:rsidR="00180578">
        <w:rPr>
          <w:rFonts w:ascii="仿宋" w:eastAsia="仿宋" w:hAnsi="仿宋" w:hint="eastAsia"/>
          <w:color w:val="000000" w:themeColor="text1"/>
          <w:kern w:val="0"/>
          <w:sz w:val="30"/>
        </w:rPr>
        <w:t>27.26</w:t>
      </w:r>
      <w:r>
        <w:rPr>
          <w:rFonts w:ascii="仿宋" w:eastAsia="仿宋" w:hAnsi="仿宋" w:hint="eastAsia"/>
          <w:color w:val="000000" w:themeColor="text1"/>
          <w:kern w:val="0"/>
          <w:sz w:val="30"/>
        </w:rPr>
        <w:t>%。主要用于</w:t>
      </w:r>
      <w:r>
        <w:rPr>
          <w:rFonts w:ascii="仿宋" w:eastAsia="仿宋" w:hAnsi="仿宋" w:hint="eastAsia"/>
          <w:color w:val="000000" w:themeColor="text1"/>
          <w:sz w:val="30"/>
        </w:rPr>
        <w:t>党政机关人员工资福利及日常工作开展开支等</w:t>
      </w:r>
      <w:r>
        <w:rPr>
          <w:rFonts w:ascii="仿宋" w:eastAsia="仿宋" w:hAnsi="仿宋" w:hint="eastAsia"/>
          <w:color w:val="000000" w:themeColor="text1"/>
          <w:kern w:val="0"/>
          <w:sz w:val="30"/>
        </w:rPr>
        <w:t>；</w:t>
      </w:r>
    </w:p>
    <w:p w:rsidR="00B0252E" w:rsidRDefault="00B7316C">
      <w:pPr>
        <w:spacing w:line="600" w:lineRule="exact"/>
        <w:ind w:firstLine="600"/>
        <w:jc w:val="left"/>
        <w:rPr>
          <w:rFonts w:ascii="Times New Roman" w:eastAsia="Times New Roman" w:hAnsi="Times New Roman"/>
          <w:color w:val="FF0000"/>
          <w:kern w:val="0"/>
          <w:sz w:val="30"/>
        </w:rPr>
      </w:pPr>
      <w:r>
        <w:rPr>
          <w:rFonts w:ascii="仿宋" w:eastAsia="仿宋" w:hAnsi="仿宋" w:hint="eastAsia"/>
          <w:kern w:val="0"/>
          <w:sz w:val="30"/>
        </w:rPr>
        <w:t>2.</w:t>
      </w:r>
      <w:r w:rsidR="009723F2">
        <w:rPr>
          <w:rFonts w:ascii="仿宋" w:eastAsia="仿宋" w:hAnsi="仿宋" w:hint="eastAsia"/>
          <w:kern w:val="0"/>
          <w:sz w:val="30"/>
        </w:rPr>
        <w:t>文化旅游体育与传媒（类）支出</w:t>
      </w:r>
      <w:r w:rsidR="00180578">
        <w:rPr>
          <w:rFonts w:ascii="仿宋" w:eastAsia="仿宋" w:hAnsi="仿宋" w:hint="eastAsia"/>
          <w:kern w:val="0"/>
          <w:sz w:val="30"/>
        </w:rPr>
        <w:t>45.27</w:t>
      </w:r>
      <w:r w:rsidR="009723F2">
        <w:rPr>
          <w:rFonts w:ascii="仿宋" w:eastAsia="仿宋" w:hAnsi="仿宋" w:hint="eastAsia"/>
          <w:kern w:val="0"/>
          <w:sz w:val="30"/>
        </w:rPr>
        <w:t>万元，占一般公共预</w:t>
      </w:r>
      <w:r w:rsidR="009723F2">
        <w:rPr>
          <w:rFonts w:ascii="仿宋" w:eastAsia="仿宋" w:hAnsi="仿宋" w:hint="eastAsia"/>
          <w:kern w:val="0"/>
          <w:sz w:val="30"/>
        </w:rPr>
        <w:lastRenderedPageBreak/>
        <w:t>算财政拨款总支出的</w:t>
      </w:r>
      <w:r w:rsidR="00180578">
        <w:rPr>
          <w:rFonts w:ascii="仿宋" w:eastAsia="仿宋" w:hAnsi="仿宋" w:hint="eastAsia"/>
          <w:kern w:val="0"/>
          <w:sz w:val="30"/>
        </w:rPr>
        <w:t>2.48</w:t>
      </w:r>
      <w:r w:rsidR="009723F2">
        <w:rPr>
          <w:rFonts w:ascii="仿宋" w:eastAsia="仿宋" w:hAnsi="仿宋" w:hint="eastAsia"/>
          <w:color w:val="000000" w:themeColor="text1"/>
          <w:kern w:val="0"/>
          <w:sz w:val="30"/>
        </w:rPr>
        <w:t>%。主要用于</w:t>
      </w:r>
      <w:r w:rsidR="009723F2">
        <w:rPr>
          <w:rFonts w:ascii="仿宋" w:eastAsia="仿宋" w:hAnsi="仿宋" w:hint="eastAsia"/>
          <w:color w:val="000000" w:themeColor="text1"/>
          <w:sz w:val="30"/>
        </w:rPr>
        <w:t>宣传文化中心人员工资福利及日常工作开展开支</w:t>
      </w:r>
      <w:r w:rsidR="009723F2">
        <w:rPr>
          <w:rFonts w:ascii="仿宋" w:eastAsia="仿宋" w:hAnsi="仿宋" w:hint="eastAsia"/>
          <w:color w:val="000000" w:themeColor="text1"/>
          <w:kern w:val="0"/>
          <w:sz w:val="30"/>
        </w:rPr>
        <w:t>；</w:t>
      </w:r>
    </w:p>
    <w:p w:rsidR="00B0252E" w:rsidRDefault="00B7316C">
      <w:pPr>
        <w:spacing w:line="600" w:lineRule="exact"/>
        <w:ind w:firstLineChars="300" w:firstLine="900"/>
        <w:jc w:val="left"/>
        <w:rPr>
          <w:rFonts w:ascii="Times New Roman" w:eastAsia="Times New Roman" w:hAnsi="Times New Roman"/>
          <w:color w:val="FF0000"/>
          <w:kern w:val="0"/>
          <w:sz w:val="30"/>
        </w:rPr>
      </w:pPr>
      <w:r>
        <w:rPr>
          <w:rFonts w:ascii="仿宋" w:eastAsia="仿宋" w:hAnsi="仿宋" w:hint="eastAsia"/>
          <w:kern w:val="0"/>
          <w:sz w:val="30"/>
        </w:rPr>
        <w:t>3.</w:t>
      </w:r>
      <w:r w:rsidR="009723F2">
        <w:rPr>
          <w:rFonts w:ascii="仿宋" w:eastAsia="仿宋" w:hAnsi="仿宋" w:hint="eastAsia"/>
          <w:kern w:val="0"/>
          <w:sz w:val="30"/>
        </w:rPr>
        <w:t>社会保障和就业（类）支出</w:t>
      </w:r>
      <w:r w:rsidR="00180578">
        <w:rPr>
          <w:rFonts w:ascii="仿宋" w:eastAsia="仿宋" w:hAnsi="仿宋" w:hint="eastAsia"/>
          <w:kern w:val="0"/>
          <w:sz w:val="30"/>
        </w:rPr>
        <w:t>173.99</w:t>
      </w:r>
      <w:r w:rsidR="009723F2">
        <w:rPr>
          <w:rFonts w:ascii="仿宋" w:eastAsia="仿宋" w:hAnsi="仿宋" w:hint="eastAsia"/>
          <w:kern w:val="0"/>
          <w:sz w:val="30"/>
        </w:rPr>
        <w:t>万元，占一般公共预算财政拨款总支出的</w:t>
      </w:r>
      <w:r w:rsidR="00180578">
        <w:rPr>
          <w:rFonts w:ascii="仿宋" w:eastAsia="仿宋" w:hAnsi="仿宋" w:hint="eastAsia"/>
          <w:kern w:val="0"/>
          <w:sz w:val="30"/>
        </w:rPr>
        <w:t>9.54</w:t>
      </w:r>
      <w:r w:rsidR="009723F2">
        <w:rPr>
          <w:rFonts w:ascii="仿宋" w:eastAsia="仿宋" w:hAnsi="仿宋" w:hint="eastAsia"/>
          <w:kern w:val="0"/>
          <w:sz w:val="30"/>
        </w:rPr>
        <w:t>%。</w:t>
      </w:r>
      <w:r w:rsidR="009723F2">
        <w:rPr>
          <w:rFonts w:ascii="仿宋" w:eastAsia="仿宋" w:hAnsi="仿宋" w:hint="eastAsia"/>
          <w:color w:val="000000" w:themeColor="text1"/>
          <w:kern w:val="0"/>
          <w:sz w:val="30"/>
        </w:rPr>
        <w:t>主要用于</w:t>
      </w:r>
      <w:r w:rsidR="009723F2">
        <w:rPr>
          <w:rFonts w:ascii="仿宋" w:eastAsia="仿宋" w:hAnsi="仿宋" w:hint="eastAsia"/>
          <w:color w:val="000000" w:themeColor="text1"/>
          <w:sz w:val="30"/>
        </w:rPr>
        <w:t>社会保障中心人员工资福利及日常工作开展开支</w:t>
      </w:r>
      <w:r w:rsidR="009723F2">
        <w:rPr>
          <w:rFonts w:ascii="仿宋" w:eastAsia="仿宋" w:hAnsi="仿宋" w:hint="eastAsia"/>
          <w:color w:val="000000" w:themeColor="text1"/>
          <w:kern w:val="0"/>
          <w:sz w:val="30"/>
        </w:rPr>
        <w:t>；</w:t>
      </w:r>
    </w:p>
    <w:p w:rsidR="00B0252E" w:rsidRDefault="00B7316C">
      <w:pPr>
        <w:spacing w:line="600" w:lineRule="exact"/>
        <w:ind w:firstLine="600"/>
        <w:jc w:val="left"/>
        <w:rPr>
          <w:rFonts w:ascii="Times New Roman" w:eastAsia="仿宋" w:hAnsi="Times New Roman"/>
          <w:color w:val="FF0000"/>
          <w:kern w:val="0"/>
          <w:sz w:val="30"/>
        </w:rPr>
      </w:pPr>
      <w:r>
        <w:rPr>
          <w:rFonts w:ascii="仿宋" w:eastAsia="仿宋" w:hAnsi="仿宋" w:hint="eastAsia"/>
          <w:kern w:val="0"/>
          <w:sz w:val="30"/>
        </w:rPr>
        <w:t>4.</w:t>
      </w:r>
      <w:r w:rsidR="009723F2">
        <w:rPr>
          <w:rFonts w:ascii="仿宋" w:eastAsia="仿宋" w:hAnsi="仿宋" w:hint="eastAsia"/>
          <w:kern w:val="0"/>
          <w:sz w:val="30"/>
        </w:rPr>
        <w:t>卫生健康（类）支出</w:t>
      </w:r>
      <w:r w:rsidR="00180578">
        <w:rPr>
          <w:rFonts w:ascii="仿宋" w:eastAsia="仿宋" w:hAnsi="仿宋" w:hint="eastAsia"/>
          <w:kern w:val="0"/>
          <w:sz w:val="30"/>
        </w:rPr>
        <w:t>0.44</w:t>
      </w:r>
      <w:r w:rsidR="009723F2">
        <w:rPr>
          <w:rFonts w:ascii="仿宋" w:eastAsia="仿宋" w:hAnsi="仿宋" w:hint="eastAsia"/>
          <w:kern w:val="0"/>
          <w:sz w:val="30"/>
        </w:rPr>
        <w:t>万元，占一般公共预算财政拨款总支出的</w:t>
      </w:r>
      <w:r w:rsidR="00180578">
        <w:rPr>
          <w:rFonts w:ascii="仿宋" w:eastAsia="仿宋" w:hAnsi="仿宋" w:hint="eastAsia"/>
          <w:kern w:val="0"/>
          <w:sz w:val="30"/>
        </w:rPr>
        <w:t>0.02</w:t>
      </w:r>
      <w:r w:rsidR="009723F2">
        <w:rPr>
          <w:rFonts w:ascii="仿宋" w:eastAsia="仿宋" w:hAnsi="仿宋" w:hint="eastAsia"/>
          <w:kern w:val="0"/>
          <w:sz w:val="30"/>
        </w:rPr>
        <w:t>%。主要用于</w:t>
      </w:r>
      <w:r w:rsidR="009723F2">
        <w:rPr>
          <w:rFonts w:ascii="仿宋" w:eastAsia="仿宋" w:hAnsi="仿宋" w:hint="eastAsia"/>
          <w:sz w:val="30"/>
        </w:rPr>
        <w:t>计生信息员补助、计划生育日常工作开支</w:t>
      </w:r>
      <w:r w:rsidR="00180578">
        <w:rPr>
          <w:rFonts w:ascii="仿宋" w:eastAsia="仿宋" w:hAnsi="仿宋" w:hint="eastAsia"/>
          <w:sz w:val="30"/>
        </w:rPr>
        <w:t>；</w:t>
      </w:r>
    </w:p>
    <w:p w:rsidR="00B0252E" w:rsidRDefault="00B7316C">
      <w:pPr>
        <w:spacing w:line="600" w:lineRule="exact"/>
        <w:ind w:firstLine="600"/>
        <w:jc w:val="left"/>
        <w:rPr>
          <w:rFonts w:ascii="仿宋" w:eastAsia="仿宋" w:hAnsi="仿宋"/>
          <w:color w:val="000000" w:themeColor="text1"/>
          <w:kern w:val="0"/>
          <w:sz w:val="30"/>
        </w:rPr>
      </w:pPr>
      <w:r>
        <w:rPr>
          <w:rFonts w:ascii="仿宋" w:eastAsia="仿宋" w:hAnsi="仿宋" w:hint="eastAsia"/>
          <w:color w:val="000000" w:themeColor="text1"/>
          <w:kern w:val="0"/>
          <w:sz w:val="30"/>
        </w:rPr>
        <w:t>5.</w:t>
      </w:r>
      <w:r w:rsidR="009723F2">
        <w:rPr>
          <w:rFonts w:ascii="仿宋" w:eastAsia="仿宋" w:hAnsi="仿宋" w:hint="eastAsia"/>
          <w:color w:val="000000" w:themeColor="text1"/>
          <w:kern w:val="0"/>
          <w:sz w:val="30"/>
        </w:rPr>
        <w:t>农林水（类）支出</w:t>
      </w:r>
      <w:r w:rsidR="00180578">
        <w:rPr>
          <w:rFonts w:ascii="仿宋" w:eastAsia="仿宋" w:hAnsi="仿宋" w:hint="eastAsia"/>
          <w:color w:val="000000" w:themeColor="text1"/>
          <w:kern w:val="0"/>
          <w:sz w:val="30"/>
        </w:rPr>
        <w:t>1048.37</w:t>
      </w:r>
      <w:r w:rsidR="009723F2">
        <w:rPr>
          <w:rFonts w:ascii="仿宋" w:eastAsia="仿宋" w:hAnsi="仿宋" w:hint="eastAsia"/>
          <w:color w:val="000000" w:themeColor="text1"/>
          <w:kern w:val="0"/>
          <w:sz w:val="30"/>
        </w:rPr>
        <w:t>万元，占一般公共预算财政拨款总支出的</w:t>
      </w:r>
      <w:r w:rsidR="00180578">
        <w:rPr>
          <w:rFonts w:ascii="仿宋" w:eastAsia="仿宋" w:hAnsi="仿宋" w:hint="eastAsia"/>
          <w:color w:val="000000" w:themeColor="text1"/>
          <w:kern w:val="0"/>
          <w:sz w:val="30"/>
        </w:rPr>
        <w:t>57.5</w:t>
      </w:r>
      <w:r w:rsidR="009723F2">
        <w:rPr>
          <w:rFonts w:ascii="仿宋" w:eastAsia="仿宋" w:hAnsi="仿宋" w:hint="eastAsia"/>
          <w:color w:val="000000" w:themeColor="text1"/>
          <w:kern w:val="0"/>
          <w:sz w:val="30"/>
        </w:rPr>
        <w:t>%。主要用于</w:t>
      </w:r>
      <w:r w:rsidR="009723F2">
        <w:rPr>
          <w:rFonts w:ascii="仿宋" w:eastAsia="仿宋" w:hAnsi="仿宋" w:hint="eastAsia"/>
          <w:color w:val="000000" w:themeColor="text1"/>
          <w:sz w:val="30"/>
        </w:rPr>
        <w:t>农业综合保障中心人员工资福利及扶贫项目资金开支等</w:t>
      </w:r>
      <w:r w:rsidR="009723F2">
        <w:rPr>
          <w:rFonts w:ascii="仿宋" w:eastAsia="仿宋" w:hAnsi="仿宋" w:hint="eastAsia"/>
          <w:color w:val="000000" w:themeColor="text1"/>
          <w:kern w:val="0"/>
          <w:sz w:val="30"/>
        </w:rPr>
        <w:t>；</w:t>
      </w:r>
    </w:p>
    <w:p w:rsidR="00B0252E" w:rsidRDefault="00B7316C">
      <w:pPr>
        <w:spacing w:line="600" w:lineRule="exact"/>
        <w:ind w:firstLineChars="200" w:firstLine="600"/>
        <w:jc w:val="left"/>
        <w:rPr>
          <w:rFonts w:ascii="仿宋" w:eastAsia="仿宋" w:hAnsi="仿宋"/>
          <w:sz w:val="30"/>
        </w:rPr>
      </w:pPr>
      <w:r>
        <w:rPr>
          <w:rFonts w:ascii="仿宋" w:eastAsia="仿宋" w:hAnsi="仿宋" w:hint="eastAsia"/>
          <w:kern w:val="0"/>
          <w:sz w:val="30"/>
        </w:rPr>
        <w:t>6.</w:t>
      </w:r>
      <w:r w:rsidR="009723F2">
        <w:rPr>
          <w:rFonts w:ascii="仿宋" w:eastAsia="仿宋" w:hAnsi="仿宋" w:hint="eastAsia"/>
          <w:kern w:val="0"/>
          <w:sz w:val="30"/>
        </w:rPr>
        <w:t>住房保障（类）支出</w:t>
      </w:r>
      <w:r w:rsidR="00180578">
        <w:rPr>
          <w:rFonts w:ascii="仿宋" w:eastAsia="仿宋" w:hAnsi="仿宋" w:hint="eastAsia"/>
          <w:kern w:val="0"/>
          <w:sz w:val="30"/>
        </w:rPr>
        <w:t>42.77</w:t>
      </w:r>
      <w:r w:rsidR="009723F2">
        <w:rPr>
          <w:rFonts w:ascii="仿宋" w:eastAsia="仿宋" w:hAnsi="仿宋" w:hint="eastAsia"/>
          <w:kern w:val="0"/>
          <w:sz w:val="30"/>
        </w:rPr>
        <w:t>万元，占一般公共预算财政拨款总支出的</w:t>
      </w:r>
      <w:r w:rsidR="00180578">
        <w:rPr>
          <w:rFonts w:ascii="仿宋" w:eastAsia="仿宋" w:hAnsi="仿宋" w:hint="eastAsia"/>
          <w:color w:val="000000" w:themeColor="text1"/>
          <w:kern w:val="0"/>
          <w:sz w:val="30"/>
        </w:rPr>
        <w:t>2.35</w:t>
      </w:r>
      <w:r w:rsidR="009723F2">
        <w:rPr>
          <w:rFonts w:ascii="仿宋" w:eastAsia="仿宋" w:hAnsi="仿宋" w:hint="eastAsia"/>
          <w:color w:val="000000" w:themeColor="text1"/>
          <w:kern w:val="0"/>
          <w:sz w:val="30"/>
        </w:rPr>
        <w:t>%。主要用于</w:t>
      </w:r>
      <w:r w:rsidR="009723F2">
        <w:rPr>
          <w:rFonts w:ascii="仿宋" w:eastAsia="仿宋" w:hAnsi="仿宋" w:hint="eastAsia"/>
          <w:color w:val="000000" w:themeColor="text1"/>
          <w:sz w:val="30"/>
        </w:rPr>
        <w:t>在职员工的住房公积金单位配给部分</w:t>
      </w:r>
      <w:r w:rsidR="009723F2">
        <w:rPr>
          <w:rFonts w:ascii="仿宋" w:eastAsia="仿宋" w:hAnsi="仿宋" w:hint="eastAsia"/>
          <w:color w:val="000000" w:themeColor="text1"/>
          <w:kern w:val="0"/>
          <w:sz w:val="30"/>
        </w:rPr>
        <w:t>；</w:t>
      </w:r>
      <w:r w:rsidR="009723F2">
        <w:rPr>
          <w:rFonts w:ascii="仿宋" w:eastAsia="仿宋" w:hAnsi="仿宋" w:hint="eastAsia"/>
          <w:sz w:val="30"/>
        </w:rPr>
        <w:t xml:space="preserve">    </w:t>
      </w:r>
    </w:p>
    <w:p w:rsidR="00B0252E" w:rsidRDefault="00B7316C">
      <w:pPr>
        <w:spacing w:line="600" w:lineRule="exact"/>
        <w:ind w:firstLine="600"/>
        <w:jc w:val="left"/>
        <w:rPr>
          <w:rFonts w:ascii="仿宋" w:eastAsia="仿宋" w:hAnsi="仿宋"/>
          <w:kern w:val="0"/>
          <w:sz w:val="30"/>
        </w:rPr>
      </w:pPr>
      <w:r>
        <w:rPr>
          <w:rFonts w:ascii="仿宋" w:eastAsia="仿宋" w:hAnsi="仿宋" w:hint="eastAsia"/>
          <w:kern w:val="0"/>
          <w:sz w:val="30"/>
        </w:rPr>
        <w:t>7</w:t>
      </w:r>
      <w:r w:rsidR="009723F2">
        <w:rPr>
          <w:rFonts w:ascii="仿宋" w:eastAsia="仿宋" w:hAnsi="仿宋" w:hint="eastAsia"/>
          <w:kern w:val="0"/>
          <w:sz w:val="30"/>
        </w:rPr>
        <w:t>.灾害防治及应急管理（类）支出</w:t>
      </w:r>
      <w:r w:rsidR="00180578">
        <w:rPr>
          <w:rFonts w:ascii="仿宋" w:eastAsia="仿宋" w:hAnsi="仿宋" w:hint="eastAsia"/>
          <w:kern w:val="0"/>
          <w:sz w:val="30"/>
        </w:rPr>
        <w:t>15.5</w:t>
      </w:r>
      <w:r w:rsidR="009723F2">
        <w:rPr>
          <w:rFonts w:ascii="仿宋" w:eastAsia="仿宋" w:hAnsi="仿宋" w:hint="eastAsia"/>
          <w:kern w:val="0"/>
          <w:sz w:val="30"/>
        </w:rPr>
        <w:t>万元，占一般公共预算财政拨款总支出的</w:t>
      </w:r>
      <w:r w:rsidR="00180578">
        <w:rPr>
          <w:rFonts w:ascii="仿宋" w:eastAsia="仿宋" w:hAnsi="仿宋" w:hint="eastAsia"/>
          <w:kern w:val="0"/>
          <w:sz w:val="30"/>
        </w:rPr>
        <w:t>0.</w:t>
      </w:r>
      <w:r w:rsidR="0029278A">
        <w:rPr>
          <w:rFonts w:ascii="仿宋" w:eastAsia="仿宋" w:hAnsi="仿宋" w:hint="eastAsia"/>
          <w:kern w:val="0"/>
          <w:sz w:val="30"/>
        </w:rPr>
        <w:t>85</w:t>
      </w:r>
      <w:r w:rsidR="009723F2">
        <w:rPr>
          <w:rFonts w:ascii="仿宋" w:eastAsia="仿宋" w:hAnsi="仿宋" w:hint="eastAsia"/>
          <w:kern w:val="0"/>
          <w:sz w:val="30"/>
        </w:rPr>
        <w:t>%。主要用于自然灾害生活补助资金（春冬临时救助款）、地质灾害防治及管理开支。</w:t>
      </w:r>
    </w:p>
    <w:p w:rsidR="00B0252E" w:rsidRDefault="009723F2">
      <w:pPr>
        <w:spacing w:line="600" w:lineRule="exact"/>
        <w:ind w:firstLine="600"/>
        <w:jc w:val="left"/>
        <w:rPr>
          <w:rFonts w:ascii="Times New Roman" w:eastAsia="Times New Roman" w:hAnsi="Times New Roman"/>
          <w:sz w:val="30"/>
        </w:rPr>
      </w:pPr>
      <w:r>
        <w:rPr>
          <w:rFonts w:ascii="黑体" w:eastAsia="黑体" w:hAnsi="黑体" w:hint="eastAsia"/>
          <w:sz w:val="30"/>
        </w:rPr>
        <w:t>四、一般公共预算财政拨款</w:t>
      </w:r>
      <w:r>
        <w:rPr>
          <w:rFonts w:ascii="Times New Roman" w:eastAsia="Times New Roman" w:hAnsi="Times New Roman"/>
          <w:sz w:val="30"/>
        </w:rPr>
        <w:t>“</w:t>
      </w:r>
      <w:r>
        <w:rPr>
          <w:rFonts w:ascii="黑体" w:eastAsia="黑体" w:hAnsi="黑体" w:hint="eastAsia"/>
          <w:sz w:val="30"/>
        </w:rPr>
        <w:t>三公</w:t>
      </w:r>
      <w:r>
        <w:rPr>
          <w:rFonts w:ascii="Times New Roman" w:eastAsia="Times New Roman" w:hAnsi="Times New Roman"/>
          <w:sz w:val="30"/>
        </w:rPr>
        <w:t>”</w:t>
      </w:r>
      <w:r>
        <w:rPr>
          <w:rFonts w:ascii="黑体" w:eastAsia="黑体" w:hAnsi="黑体" w:hint="eastAsia"/>
          <w:sz w:val="30"/>
        </w:rPr>
        <w:t>经费支出决算情况说明</w:t>
      </w:r>
    </w:p>
    <w:p w:rsidR="00B0252E" w:rsidRDefault="009723F2">
      <w:pPr>
        <w:spacing w:line="600" w:lineRule="exact"/>
        <w:ind w:firstLine="600"/>
        <w:jc w:val="left"/>
        <w:rPr>
          <w:rFonts w:ascii="Times New Roman" w:eastAsia="Times New Roman" w:hAnsi="Times New Roman"/>
          <w:sz w:val="30"/>
        </w:rPr>
      </w:pPr>
      <w:r>
        <w:rPr>
          <w:rFonts w:ascii="楷体" w:eastAsia="楷体" w:hAnsi="楷体" w:hint="eastAsia"/>
          <w:sz w:val="30"/>
        </w:rPr>
        <w:t>(一)</w:t>
      </w:r>
      <w:r>
        <w:rPr>
          <w:rFonts w:ascii="黑体" w:eastAsia="黑体" w:hAnsi="黑体" w:hint="eastAsia"/>
          <w:sz w:val="30"/>
        </w:rPr>
        <w:t xml:space="preserve"> </w:t>
      </w:r>
      <w:r>
        <w:rPr>
          <w:rFonts w:ascii="楷体" w:eastAsia="楷体" w:hAnsi="楷体" w:hint="eastAsia"/>
          <w:sz w:val="30"/>
        </w:rPr>
        <w:t>一般公共预算财政拨款</w:t>
      </w:r>
      <w:r>
        <w:rPr>
          <w:rFonts w:ascii="Times New Roman" w:eastAsia="Times New Roman" w:hAnsi="Times New Roman"/>
          <w:sz w:val="30"/>
        </w:rPr>
        <w:t>“</w:t>
      </w:r>
      <w:r>
        <w:rPr>
          <w:rFonts w:ascii="楷体" w:eastAsia="楷体" w:hAnsi="楷体" w:hint="eastAsia"/>
          <w:sz w:val="30"/>
        </w:rPr>
        <w:t>三公</w:t>
      </w:r>
      <w:r>
        <w:rPr>
          <w:rFonts w:ascii="Times New Roman" w:eastAsia="Times New Roman" w:hAnsi="Times New Roman"/>
          <w:sz w:val="30"/>
        </w:rPr>
        <w:t>”</w:t>
      </w:r>
      <w:r>
        <w:rPr>
          <w:rFonts w:ascii="楷体" w:eastAsia="楷体" w:hAnsi="楷体" w:hint="eastAsia"/>
          <w:sz w:val="30"/>
        </w:rPr>
        <w:t>经费支出决算总体情况</w:t>
      </w:r>
    </w:p>
    <w:p w:rsidR="00B0252E" w:rsidRDefault="009723F2">
      <w:pPr>
        <w:spacing w:line="600" w:lineRule="exact"/>
        <w:ind w:firstLine="600"/>
        <w:rPr>
          <w:rFonts w:ascii="Times New Roman" w:eastAsia="Times New Roman" w:hAnsi="Times New Roman"/>
          <w:color w:val="FF0000"/>
          <w:sz w:val="30"/>
        </w:rPr>
      </w:pPr>
      <w:r>
        <w:rPr>
          <w:rFonts w:ascii="仿宋" w:eastAsia="仿宋" w:hAnsi="仿宋" w:hint="eastAsia"/>
          <w:sz w:val="30"/>
        </w:rPr>
        <w:t>德宏州梁河县</w:t>
      </w:r>
      <w:r w:rsidR="007D14E4">
        <w:rPr>
          <w:rFonts w:ascii="仿宋" w:eastAsia="仿宋" w:hAnsi="仿宋" w:hint="eastAsia"/>
          <w:sz w:val="30"/>
        </w:rPr>
        <w:t>大厂</w:t>
      </w:r>
      <w:r>
        <w:rPr>
          <w:rFonts w:ascii="仿宋" w:eastAsia="仿宋" w:hAnsi="仿宋" w:hint="eastAsia"/>
          <w:sz w:val="30"/>
        </w:rPr>
        <w:t>乡部门2019年度一般公共预算财政拨款</w:t>
      </w:r>
      <w:r>
        <w:rPr>
          <w:rFonts w:ascii="Times New Roman" w:eastAsia="Times New Roman" w:hAnsi="Times New Roman"/>
          <w:sz w:val="30"/>
        </w:rPr>
        <w:t>“</w:t>
      </w:r>
      <w:r>
        <w:rPr>
          <w:rFonts w:ascii="仿宋" w:eastAsia="仿宋" w:hAnsi="仿宋" w:hint="eastAsia"/>
          <w:sz w:val="30"/>
        </w:rPr>
        <w:t>三</w:t>
      </w:r>
      <w:r>
        <w:rPr>
          <w:rFonts w:ascii="仿宋" w:eastAsia="仿宋" w:hAnsi="仿宋" w:hint="eastAsia"/>
          <w:color w:val="000000" w:themeColor="text1"/>
          <w:sz w:val="30"/>
        </w:rPr>
        <w:t>公</w:t>
      </w:r>
      <w:r>
        <w:rPr>
          <w:rFonts w:ascii="Times New Roman" w:eastAsia="Times New Roman" w:hAnsi="Times New Roman"/>
          <w:color w:val="000000" w:themeColor="text1"/>
          <w:sz w:val="30"/>
        </w:rPr>
        <w:t>”</w:t>
      </w:r>
      <w:r>
        <w:rPr>
          <w:rFonts w:ascii="仿宋" w:eastAsia="仿宋" w:hAnsi="仿宋" w:hint="eastAsia"/>
          <w:color w:val="000000" w:themeColor="text1"/>
          <w:sz w:val="30"/>
        </w:rPr>
        <w:t>经费支出预算为</w:t>
      </w:r>
      <w:r w:rsidR="008A34D8">
        <w:rPr>
          <w:rFonts w:ascii="仿宋" w:eastAsia="仿宋" w:hAnsi="仿宋" w:hint="eastAsia"/>
          <w:color w:val="000000" w:themeColor="text1"/>
          <w:sz w:val="30"/>
        </w:rPr>
        <w:t>7.35</w:t>
      </w:r>
      <w:r>
        <w:rPr>
          <w:rFonts w:ascii="仿宋" w:eastAsia="仿宋" w:hAnsi="仿宋" w:hint="eastAsia"/>
          <w:color w:val="000000" w:themeColor="text1"/>
          <w:sz w:val="30"/>
        </w:rPr>
        <w:t>万元，支出决算为</w:t>
      </w:r>
      <w:r w:rsidR="008A34D8">
        <w:rPr>
          <w:rFonts w:ascii="仿宋" w:eastAsia="仿宋" w:hAnsi="仿宋" w:hint="eastAsia"/>
          <w:color w:val="000000" w:themeColor="text1"/>
          <w:sz w:val="30"/>
        </w:rPr>
        <w:t>8.9</w:t>
      </w:r>
      <w:r>
        <w:rPr>
          <w:rFonts w:ascii="仿宋" w:eastAsia="仿宋" w:hAnsi="仿宋" w:hint="eastAsia"/>
          <w:color w:val="000000" w:themeColor="text1"/>
          <w:sz w:val="30"/>
        </w:rPr>
        <w:t>万元，完成预算的</w:t>
      </w:r>
      <w:r w:rsidR="008A34D8">
        <w:rPr>
          <w:rFonts w:ascii="仿宋" w:eastAsia="仿宋" w:hAnsi="仿宋" w:hint="eastAsia"/>
          <w:color w:val="000000" w:themeColor="text1"/>
          <w:sz w:val="30"/>
        </w:rPr>
        <w:t>121.09</w:t>
      </w:r>
      <w:r>
        <w:rPr>
          <w:rFonts w:ascii="仿宋" w:eastAsia="仿宋" w:hAnsi="仿宋" w:hint="eastAsia"/>
          <w:color w:val="000000" w:themeColor="text1"/>
          <w:sz w:val="30"/>
        </w:rPr>
        <w:t>%。其中：</w:t>
      </w:r>
      <w:r>
        <w:rPr>
          <w:rFonts w:ascii="仿宋" w:eastAsia="仿宋" w:hAnsi="仿宋" w:hint="eastAsia"/>
          <w:sz w:val="30"/>
        </w:rPr>
        <w:t>因公出国（境）费支出决算为0万元；</w:t>
      </w:r>
      <w:r>
        <w:rPr>
          <w:rFonts w:ascii="仿宋" w:eastAsia="仿宋" w:hAnsi="仿宋" w:hint="eastAsia"/>
          <w:color w:val="000000" w:themeColor="text1"/>
          <w:sz w:val="30"/>
        </w:rPr>
        <w:t>公务用车</w:t>
      </w:r>
      <w:r>
        <w:rPr>
          <w:rFonts w:ascii="仿宋" w:eastAsia="仿宋" w:hAnsi="仿宋" w:hint="eastAsia"/>
          <w:color w:val="000000" w:themeColor="text1"/>
          <w:sz w:val="30"/>
        </w:rPr>
        <w:lastRenderedPageBreak/>
        <w:t>购置及运行费支出决算为</w:t>
      </w:r>
      <w:r w:rsidR="008A34D8">
        <w:rPr>
          <w:rFonts w:ascii="仿宋" w:eastAsia="仿宋" w:hAnsi="仿宋" w:hint="eastAsia"/>
          <w:color w:val="000000" w:themeColor="text1"/>
          <w:sz w:val="30"/>
        </w:rPr>
        <w:t>7.34</w:t>
      </w:r>
      <w:r>
        <w:rPr>
          <w:rFonts w:ascii="仿宋" w:eastAsia="仿宋" w:hAnsi="仿宋" w:hint="eastAsia"/>
          <w:color w:val="000000" w:themeColor="text1"/>
          <w:sz w:val="30"/>
        </w:rPr>
        <w:t>万元，完成预算的</w:t>
      </w:r>
      <w:r w:rsidR="008A34D8">
        <w:rPr>
          <w:rFonts w:ascii="仿宋" w:eastAsia="仿宋" w:hAnsi="仿宋" w:hint="eastAsia"/>
          <w:color w:val="000000" w:themeColor="text1"/>
          <w:sz w:val="30"/>
        </w:rPr>
        <w:t>148.28</w:t>
      </w:r>
      <w:r>
        <w:rPr>
          <w:rFonts w:ascii="仿宋" w:eastAsia="仿宋" w:hAnsi="仿宋" w:hint="eastAsia"/>
          <w:color w:val="000000" w:themeColor="text1"/>
          <w:sz w:val="30"/>
        </w:rPr>
        <w:t>%；</w:t>
      </w:r>
      <w:r>
        <w:rPr>
          <w:rFonts w:ascii="仿宋" w:eastAsia="仿宋" w:hAnsi="仿宋" w:hint="eastAsia"/>
          <w:sz w:val="30"/>
        </w:rPr>
        <w:t>公务接待费支出决算为</w:t>
      </w:r>
      <w:r w:rsidR="008A34D8">
        <w:rPr>
          <w:rFonts w:ascii="仿宋" w:eastAsia="仿宋" w:hAnsi="仿宋" w:hint="eastAsia"/>
          <w:sz w:val="30"/>
        </w:rPr>
        <w:t>1.56</w:t>
      </w:r>
      <w:r>
        <w:rPr>
          <w:rFonts w:ascii="仿宋" w:eastAsia="仿宋" w:hAnsi="仿宋" w:hint="eastAsia"/>
          <w:sz w:val="30"/>
        </w:rPr>
        <w:t>万元，完成</w:t>
      </w:r>
      <w:r>
        <w:rPr>
          <w:rFonts w:ascii="仿宋" w:eastAsia="仿宋" w:hAnsi="仿宋" w:hint="eastAsia"/>
          <w:color w:val="000000" w:themeColor="text1"/>
          <w:sz w:val="30"/>
        </w:rPr>
        <w:t>预算的</w:t>
      </w:r>
      <w:r w:rsidR="008A34D8">
        <w:rPr>
          <w:rFonts w:ascii="仿宋" w:eastAsia="仿宋" w:hAnsi="仿宋" w:hint="eastAsia"/>
          <w:color w:val="000000" w:themeColor="text1"/>
          <w:sz w:val="30"/>
        </w:rPr>
        <w:t>65</w:t>
      </w:r>
      <w:r>
        <w:rPr>
          <w:rFonts w:ascii="仿宋" w:eastAsia="仿宋" w:hAnsi="仿宋" w:hint="eastAsia"/>
          <w:color w:val="000000" w:themeColor="text1"/>
          <w:sz w:val="30"/>
        </w:rPr>
        <w:t>%</w:t>
      </w:r>
      <w:r>
        <w:rPr>
          <w:rFonts w:ascii="仿宋" w:eastAsia="仿宋" w:hAnsi="仿宋" w:hint="eastAsia"/>
          <w:sz w:val="30"/>
        </w:rPr>
        <w:t>。</w:t>
      </w:r>
      <w:r>
        <w:rPr>
          <w:rFonts w:ascii="仿宋" w:eastAsia="仿宋" w:hAnsi="仿宋" w:hint="eastAsia"/>
          <w:color w:val="000000" w:themeColor="text1"/>
          <w:sz w:val="30"/>
        </w:rPr>
        <w:t>2019年度一般公共预算财政拨款</w:t>
      </w:r>
      <w:r>
        <w:rPr>
          <w:rFonts w:ascii="Times New Roman" w:eastAsia="Times New Roman" w:hAnsi="Times New Roman"/>
          <w:color w:val="000000" w:themeColor="text1"/>
          <w:sz w:val="30"/>
        </w:rPr>
        <w:t>“</w:t>
      </w:r>
      <w:r>
        <w:rPr>
          <w:rFonts w:ascii="仿宋" w:eastAsia="仿宋" w:hAnsi="仿宋" w:hint="eastAsia"/>
          <w:color w:val="000000" w:themeColor="text1"/>
          <w:sz w:val="30"/>
        </w:rPr>
        <w:t>三公</w:t>
      </w:r>
      <w:r>
        <w:rPr>
          <w:rFonts w:ascii="Times New Roman" w:eastAsia="Times New Roman" w:hAnsi="Times New Roman"/>
          <w:color w:val="000000" w:themeColor="text1"/>
          <w:sz w:val="30"/>
        </w:rPr>
        <w:t>”</w:t>
      </w:r>
      <w:r>
        <w:rPr>
          <w:rFonts w:ascii="仿宋" w:eastAsia="仿宋" w:hAnsi="仿宋" w:hint="eastAsia"/>
          <w:color w:val="000000" w:themeColor="text1"/>
          <w:sz w:val="30"/>
        </w:rPr>
        <w:t>经费支出决算数大于预算数的主要原因是年初按正常工作量预算，年中因脱贫攻坚交叉检查及日常工作检查增多，增加无偿划拨公车一量，该车为</w:t>
      </w:r>
      <w:r w:rsidR="00E22CDB">
        <w:rPr>
          <w:rFonts w:ascii="仿宋" w:eastAsia="仿宋" w:hAnsi="仿宋" w:hint="eastAsia"/>
          <w:color w:val="000000" w:themeColor="text1"/>
          <w:sz w:val="30"/>
        </w:rPr>
        <w:t>201</w:t>
      </w:r>
      <w:r>
        <w:rPr>
          <w:rFonts w:ascii="仿宋" w:eastAsia="仿宋" w:hAnsi="仿宋" w:hint="eastAsia"/>
          <w:color w:val="000000" w:themeColor="text1"/>
          <w:sz w:val="30"/>
        </w:rPr>
        <w:t>7年</w:t>
      </w:r>
      <w:r w:rsidR="00E22CDB">
        <w:rPr>
          <w:rFonts w:ascii="仿宋" w:eastAsia="仿宋" w:hAnsi="仿宋" w:hint="eastAsia"/>
          <w:color w:val="000000" w:themeColor="text1"/>
          <w:sz w:val="30"/>
        </w:rPr>
        <w:t>县级划拨</w:t>
      </w:r>
      <w:r>
        <w:rPr>
          <w:rFonts w:ascii="仿宋" w:eastAsia="仿宋" w:hAnsi="仿宋" w:hint="eastAsia"/>
          <w:color w:val="000000" w:themeColor="text1"/>
          <w:sz w:val="30"/>
        </w:rPr>
        <w:t>的老车，损耗大导致维修成本高，公务用车运行维护费增加，导致决算数超预算数。</w:t>
      </w:r>
    </w:p>
    <w:p w:rsidR="00B0252E" w:rsidRDefault="009723F2">
      <w:pPr>
        <w:spacing w:line="600" w:lineRule="exact"/>
        <w:ind w:firstLine="600"/>
        <w:rPr>
          <w:rFonts w:ascii="Times New Roman" w:eastAsia="Times New Roman" w:hAnsi="Times New Roman"/>
          <w:color w:val="000000" w:themeColor="text1"/>
          <w:sz w:val="30"/>
        </w:rPr>
      </w:pPr>
      <w:r>
        <w:rPr>
          <w:rFonts w:ascii="仿宋" w:eastAsia="仿宋" w:hAnsi="仿宋" w:hint="eastAsia"/>
          <w:color w:val="000000" w:themeColor="text1"/>
          <w:sz w:val="30"/>
        </w:rPr>
        <w:t>2019年度一般公共预算财政拨款</w:t>
      </w:r>
      <w:r>
        <w:rPr>
          <w:rFonts w:ascii="Times New Roman" w:eastAsia="Times New Roman" w:hAnsi="Times New Roman"/>
          <w:color w:val="000000" w:themeColor="text1"/>
          <w:sz w:val="30"/>
        </w:rPr>
        <w:t>“</w:t>
      </w:r>
      <w:r>
        <w:rPr>
          <w:rFonts w:ascii="仿宋" w:eastAsia="仿宋" w:hAnsi="仿宋" w:hint="eastAsia"/>
          <w:color w:val="000000" w:themeColor="text1"/>
          <w:sz w:val="30"/>
        </w:rPr>
        <w:t>三公</w:t>
      </w:r>
      <w:r>
        <w:rPr>
          <w:rFonts w:ascii="Times New Roman" w:eastAsia="Times New Roman" w:hAnsi="Times New Roman"/>
          <w:color w:val="000000" w:themeColor="text1"/>
          <w:sz w:val="30"/>
        </w:rPr>
        <w:t>”</w:t>
      </w:r>
      <w:r>
        <w:rPr>
          <w:rFonts w:ascii="仿宋" w:eastAsia="仿宋" w:hAnsi="仿宋" w:hint="eastAsia"/>
          <w:color w:val="000000" w:themeColor="text1"/>
          <w:sz w:val="30"/>
        </w:rPr>
        <w:t>经费支出决算数比2018年</w:t>
      </w:r>
      <w:r w:rsidR="00E22CDB">
        <w:rPr>
          <w:rFonts w:ascii="仿宋" w:eastAsia="仿宋" w:hAnsi="仿宋" w:hint="eastAsia"/>
          <w:color w:val="000000" w:themeColor="text1"/>
          <w:sz w:val="30"/>
        </w:rPr>
        <w:t>9.34</w:t>
      </w:r>
      <w:r>
        <w:rPr>
          <w:rFonts w:ascii="仿宋" w:eastAsia="仿宋" w:hAnsi="仿宋" w:hint="eastAsia"/>
          <w:color w:val="000000" w:themeColor="text1"/>
          <w:sz w:val="30"/>
        </w:rPr>
        <w:t>万元相比</w:t>
      </w:r>
      <w:r w:rsidR="00E22CDB">
        <w:rPr>
          <w:rFonts w:ascii="仿宋" w:eastAsia="仿宋" w:hAnsi="仿宋" w:hint="eastAsia"/>
          <w:color w:val="000000" w:themeColor="text1"/>
          <w:sz w:val="30"/>
        </w:rPr>
        <w:t>减少</w:t>
      </w:r>
      <w:r>
        <w:rPr>
          <w:rFonts w:ascii="仿宋" w:eastAsia="仿宋" w:hAnsi="仿宋" w:hint="eastAsia"/>
          <w:color w:val="000000" w:themeColor="text1"/>
          <w:sz w:val="30"/>
        </w:rPr>
        <w:t>了</w:t>
      </w:r>
      <w:r w:rsidR="00E22CDB">
        <w:rPr>
          <w:rFonts w:ascii="仿宋" w:eastAsia="仿宋" w:hAnsi="仿宋" w:hint="eastAsia"/>
          <w:color w:val="000000" w:themeColor="text1"/>
          <w:sz w:val="30"/>
        </w:rPr>
        <w:t>0.44</w:t>
      </w:r>
      <w:r>
        <w:rPr>
          <w:rFonts w:ascii="仿宋" w:eastAsia="仿宋" w:hAnsi="仿宋" w:hint="eastAsia"/>
          <w:color w:val="000000" w:themeColor="text1"/>
          <w:sz w:val="30"/>
        </w:rPr>
        <w:t>万元，</w:t>
      </w:r>
      <w:r w:rsidR="007658AC">
        <w:rPr>
          <w:rFonts w:ascii="仿宋" w:eastAsia="仿宋" w:hAnsi="仿宋" w:hint="eastAsia"/>
          <w:color w:val="000000" w:themeColor="text1"/>
          <w:sz w:val="30"/>
        </w:rPr>
        <w:t>下降</w:t>
      </w:r>
      <w:r w:rsidR="00E22CDB">
        <w:rPr>
          <w:rFonts w:ascii="仿宋" w:eastAsia="仿宋" w:hAnsi="仿宋" w:hint="eastAsia"/>
          <w:color w:val="000000" w:themeColor="text1"/>
          <w:sz w:val="30"/>
        </w:rPr>
        <w:t>4.94</w:t>
      </w:r>
      <w:r>
        <w:rPr>
          <w:rFonts w:ascii="仿宋" w:eastAsia="仿宋" w:hAnsi="仿宋" w:hint="eastAsia"/>
          <w:color w:val="000000" w:themeColor="text1"/>
          <w:sz w:val="30"/>
        </w:rPr>
        <w:t>%。其中：因公出国（境）费支出决算与上年一致；公务用车购置及运行费支出决算与上年</w:t>
      </w:r>
      <w:r w:rsidR="00E22CDB">
        <w:rPr>
          <w:rFonts w:ascii="仿宋" w:eastAsia="仿宋" w:hAnsi="仿宋" w:hint="eastAsia"/>
          <w:color w:val="000000" w:themeColor="text1"/>
          <w:sz w:val="30"/>
        </w:rPr>
        <w:t>6.85</w:t>
      </w:r>
      <w:r>
        <w:rPr>
          <w:rFonts w:ascii="仿宋" w:eastAsia="仿宋" w:hAnsi="仿宋" w:hint="eastAsia"/>
          <w:color w:val="000000" w:themeColor="text1"/>
          <w:sz w:val="30"/>
        </w:rPr>
        <w:t>万元相比增加</w:t>
      </w:r>
      <w:r w:rsidR="00E22CDB">
        <w:rPr>
          <w:rFonts w:ascii="仿宋" w:eastAsia="仿宋" w:hAnsi="仿宋" w:hint="eastAsia"/>
          <w:color w:val="000000" w:themeColor="text1"/>
          <w:sz w:val="30"/>
        </w:rPr>
        <w:t>0.49</w:t>
      </w:r>
      <w:r>
        <w:rPr>
          <w:rFonts w:ascii="仿宋" w:eastAsia="仿宋" w:hAnsi="仿宋" w:hint="eastAsia"/>
          <w:color w:val="000000" w:themeColor="text1"/>
          <w:sz w:val="30"/>
        </w:rPr>
        <w:t>万元，增长</w:t>
      </w:r>
      <w:r w:rsidR="00E22CDB">
        <w:rPr>
          <w:rFonts w:ascii="仿宋" w:eastAsia="仿宋" w:hAnsi="仿宋" w:hint="eastAsia"/>
          <w:color w:val="000000" w:themeColor="text1"/>
          <w:sz w:val="30"/>
        </w:rPr>
        <w:t>6.67</w:t>
      </w:r>
      <w:r>
        <w:rPr>
          <w:rFonts w:ascii="仿宋" w:eastAsia="仿宋" w:hAnsi="仿宋" w:hint="eastAsia"/>
          <w:color w:val="000000" w:themeColor="text1"/>
          <w:sz w:val="30"/>
        </w:rPr>
        <w:t>%；公务接待费支出决算与上年</w:t>
      </w:r>
      <w:r w:rsidR="00E22CDB">
        <w:rPr>
          <w:rFonts w:ascii="仿宋" w:eastAsia="仿宋" w:hAnsi="仿宋" w:hint="eastAsia"/>
          <w:color w:val="000000" w:themeColor="text1"/>
          <w:sz w:val="30"/>
        </w:rPr>
        <w:t>2.49万元相比减少0.93</w:t>
      </w:r>
      <w:r>
        <w:rPr>
          <w:rFonts w:ascii="仿宋" w:eastAsia="仿宋" w:hAnsi="仿宋" w:hint="eastAsia"/>
          <w:color w:val="000000" w:themeColor="text1"/>
          <w:sz w:val="30"/>
        </w:rPr>
        <w:t>万元，</w:t>
      </w:r>
      <w:r w:rsidR="0080087B">
        <w:rPr>
          <w:rFonts w:ascii="仿宋" w:eastAsia="仿宋" w:hAnsi="仿宋" w:hint="eastAsia"/>
          <w:color w:val="000000" w:themeColor="text1"/>
          <w:sz w:val="30"/>
        </w:rPr>
        <w:t>下降</w:t>
      </w:r>
      <w:r w:rsidR="00E22CDB">
        <w:rPr>
          <w:rFonts w:ascii="仿宋" w:eastAsia="仿宋" w:hAnsi="仿宋" w:hint="eastAsia"/>
          <w:color w:val="000000" w:themeColor="text1"/>
          <w:sz w:val="30"/>
        </w:rPr>
        <w:t>56.6</w:t>
      </w:r>
      <w:r>
        <w:rPr>
          <w:rFonts w:ascii="仿宋" w:eastAsia="仿宋" w:hAnsi="仿宋" w:hint="eastAsia"/>
          <w:color w:val="000000" w:themeColor="text1"/>
          <w:sz w:val="30"/>
        </w:rPr>
        <w:t>%。2019年度一般公共预算财政拨款</w:t>
      </w:r>
      <w:r>
        <w:rPr>
          <w:rFonts w:ascii="Times New Roman" w:eastAsia="Times New Roman" w:hAnsi="Times New Roman"/>
          <w:color w:val="000000" w:themeColor="text1"/>
          <w:sz w:val="30"/>
        </w:rPr>
        <w:t>“</w:t>
      </w:r>
      <w:r>
        <w:rPr>
          <w:rFonts w:ascii="仿宋" w:eastAsia="仿宋" w:hAnsi="仿宋" w:hint="eastAsia"/>
          <w:color w:val="000000" w:themeColor="text1"/>
          <w:sz w:val="30"/>
        </w:rPr>
        <w:t>三公</w:t>
      </w:r>
      <w:r>
        <w:rPr>
          <w:rFonts w:ascii="Times New Roman" w:eastAsia="Times New Roman" w:hAnsi="Times New Roman"/>
          <w:color w:val="000000" w:themeColor="text1"/>
          <w:sz w:val="30"/>
        </w:rPr>
        <w:t>”</w:t>
      </w:r>
      <w:r>
        <w:rPr>
          <w:rFonts w:ascii="仿宋" w:eastAsia="仿宋" w:hAnsi="仿宋" w:hint="eastAsia"/>
          <w:color w:val="000000" w:themeColor="text1"/>
          <w:sz w:val="30"/>
        </w:rPr>
        <w:t>经费支出决算增加主要原因2019脱贫攻坚任务交叉检查及日常</w:t>
      </w:r>
      <w:r w:rsidR="00E22CDB">
        <w:rPr>
          <w:rFonts w:ascii="仿宋" w:eastAsia="仿宋" w:hAnsi="仿宋" w:hint="eastAsia"/>
          <w:color w:val="000000" w:themeColor="text1"/>
          <w:sz w:val="30"/>
        </w:rPr>
        <w:t>下村入户</w:t>
      </w:r>
      <w:r>
        <w:rPr>
          <w:rFonts w:ascii="仿宋" w:eastAsia="仿宋" w:hAnsi="仿宋" w:hint="eastAsia"/>
          <w:color w:val="000000" w:themeColor="text1"/>
          <w:sz w:val="30"/>
        </w:rPr>
        <w:t>工作检查增多，无偿划拨越野车车一辆，排量大导致加油成本高且频繁，该车</w:t>
      </w:r>
      <w:r w:rsidR="00E22CDB">
        <w:rPr>
          <w:rFonts w:ascii="仿宋" w:eastAsia="仿宋" w:hAnsi="仿宋" w:hint="eastAsia"/>
          <w:color w:val="000000" w:themeColor="text1"/>
          <w:sz w:val="30"/>
        </w:rPr>
        <w:t>为2017年县级划拨</w:t>
      </w:r>
      <w:r>
        <w:rPr>
          <w:rFonts w:ascii="仿宋" w:eastAsia="仿宋" w:hAnsi="仿宋" w:hint="eastAsia"/>
          <w:color w:val="000000" w:themeColor="text1"/>
          <w:sz w:val="30"/>
        </w:rPr>
        <w:t>的老车，损耗大导致维修成本高。</w:t>
      </w:r>
    </w:p>
    <w:p w:rsidR="00B0252E" w:rsidRDefault="009723F2">
      <w:pPr>
        <w:spacing w:line="600" w:lineRule="exact"/>
        <w:ind w:firstLine="600"/>
        <w:jc w:val="left"/>
        <w:rPr>
          <w:rFonts w:ascii="Times New Roman" w:eastAsia="Times New Roman" w:hAnsi="Times New Roman"/>
          <w:sz w:val="30"/>
        </w:rPr>
      </w:pPr>
      <w:r>
        <w:rPr>
          <w:rFonts w:ascii="楷体" w:eastAsia="楷体" w:hAnsi="楷体" w:hint="eastAsia"/>
          <w:sz w:val="30"/>
        </w:rPr>
        <w:t>(二)</w:t>
      </w:r>
      <w:r>
        <w:rPr>
          <w:rFonts w:ascii="仿宋_GB2312" w:eastAsia="仿宋_GB2312" w:hAnsi="仿宋_GB2312" w:hint="eastAsia"/>
          <w:sz w:val="30"/>
        </w:rPr>
        <w:t xml:space="preserve"> </w:t>
      </w:r>
      <w:r>
        <w:rPr>
          <w:rFonts w:ascii="楷体" w:eastAsia="楷体" w:hAnsi="楷体" w:hint="eastAsia"/>
          <w:sz w:val="30"/>
        </w:rPr>
        <w:t>一般公共预算财政拨款</w:t>
      </w:r>
      <w:r>
        <w:rPr>
          <w:rFonts w:ascii="Times New Roman" w:eastAsia="Times New Roman" w:hAnsi="Times New Roman"/>
          <w:sz w:val="30"/>
        </w:rPr>
        <w:t>“</w:t>
      </w:r>
      <w:r>
        <w:rPr>
          <w:rFonts w:ascii="楷体" w:eastAsia="楷体" w:hAnsi="楷体" w:hint="eastAsia"/>
          <w:sz w:val="30"/>
        </w:rPr>
        <w:t>三公</w:t>
      </w:r>
      <w:r>
        <w:rPr>
          <w:rFonts w:ascii="Times New Roman" w:eastAsia="Times New Roman" w:hAnsi="Times New Roman"/>
          <w:sz w:val="30"/>
        </w:rPr>
        <w:t>”</w:t>
      </w:r>
      <w:r>
        <w:rPr>
          <w:rFonts w:ascii="楷体" w:eastAsia="楷体" w:hAnsi="楷体" w:hint="eastAsia"/>
          <w:sz w:val="30"/>
        </w:rPr>
        <w:t>经费支出决算具体情况</w:t>
      </w:r>
    </w:p>
    <w:p w:rsidR="00B0252E" w:rsidRDefault="009723F2">
      <w:pPr>
        <w:spacing w:line="600" w:lineRule="exact"/>
        <w:ind w:firstLine="600"/>
        <w:jc w:val="left"/>
        <w:rPr>
          <w:rFonts w:ascii="Times New Roman" w:eastAsia="Times New Roman" w:hAnsi="Times New Roman"/>
          <w:sz w:val="30"/>
        </w:rPr>
      </w:pPr>
      <w:r>
        <w:rPr>
          <w:rFonts w:ascii="仿宋" w:eastAsia="仿宋" w:hAnsi="仿宋" w:hint="eastAsia"/>
          <w:sz w:val="30"/>
        </w:rPr>
        <w:t>2019年度一般公共预算财政拨款</w:t>
      </w:r>
      <w:r>
        <w:rPr>
          <w:rFonts w:ascii="Times New Roman" w:eastAsia="Times New Roman" w:hAnsi="Times New Roman"/>
          <w:sz w:val="30"/>
        </w:rPr>
        <w:t>“</w:t>
      </w:r>
      <w:r>
        <w:rPr>
          <w:rFonts w:ascii="仿宋" w:eastAsia="仿宋" w:hAnsi="仿宋" w:hint="eastAsia"/>
          <w:sz w:val="30"/>
        </w:rPr>
        <w:t>三公</w:t>
      </w:r>
      <w:r>
        <w:rPr>
          <w:rFonts w:ascii="Times New Roman" w:eastAsia="Times New Roman" w:hAnsi="Times New Roman"/>
          <w:sz w:val="30"/>
        </w:rPr>
        <w:t>”</w:t>
      </w:r>
      <w:r>
        <w:rPr>
          <w:rFonts w:ascii="仿宋" w:eastAsia="仿宋" w:hAnsi="仿宋" w:hint="eastAsia"/>
          <w:sz w:val="30"/>
        </w:rPr>
        <w:t>经费支出决算中，因公出国（境）费支出0万元，占0%；公务用车购置及运行维护费支出</w:t>
      </w:r>
      <w:r w:rsidR="00DC5C38">
        <w:rPr>
          <w:rFonts w:ascii="仿宋" w:eastAsia="仿宋" w:hAnsi="仿宋" w:hint="eastAsia"/>
          <w:sz w:val="30"/>
        </w:rPr>
        <w:t>7.34</w:t>
      </w:r>
      <w:r>
        <w:rPr>
          <w:rFonts w:ascii="仿宋" w:eastAsia="仿宋" w:hAnsi="仿宋" w:hint="eastAsia"/>
          <w:sz w:val="30"/>
        </w:rPr>
        <w:t>万元，占</w:t>
      </w:r>
      <w:r w:rsidR="00DC5C38">
        <w:rPr>
          <w:rFonts w:ascii="仿宋" w:eastAsia="仿宋" w:hAnsi="仿宋" w:hint="eastAsia"/>
          <w:sz w:val="30"/>
        </w:rPr>
        <w:t>82.47</w:t>
      </w:r>
      <w:r>
        <w:rPr>
          <w:rFonts w:ascii="仿宋" w:eastAsia="仿宋" w:hAnsi="仿宋" w:hint="eastAsia"/>
          <w:sz w:val="30"/>
        </w:rPr>
        <w:t>%；公务接待费支出</w:t>
      </w:r>
      <w:r w:rsidR="00DC5C38">
        <w:rPr>
          <w:rFonts w:ascii="仿宋" w:eastAsia="仿宋" w:hAnsi="仿宋" w:hint="eastAsia"/>
          <w:sz w:val="30"/>
        </w:rPr>
        <w:t>1.56</w:t>
      </w:r>
      <w:r>
        <w:rPr>
          <w:rFonts w:ascii="仿宋" w:eastAsia="仿宋" w:hAnsi="仿宋" w:hint="eastAsia"/>
          <w:sz w:val="30"/>
        </w:rPr>
        <w:t>万元，占</w:t>
      </w:r>
      <w:r w:rsidR="00DC5C38">
        <w:rPr>
          <w:rFonts w:ascii="仿宋" w:eastAsia="仿宋" w:hAnsi="仿宋" w:hint="eastAsia"/>
          <w:sz w:val="30"/>
        </w:rPr>
        <w:t>17.53</w:t>
      </w:r>
      <w:r>
        <w:rPr>
          <w:rFonts w:ascii="仿宋" w:eastAsia="仿宋" w:hAnsi="仿宋" w:hint="eastAsia"/>
          <w:sz w:val="30"/>
        </w:rPr>
        <w:t>%。具体情况如下：</w:t>
      </w:r>
    </w:p>
    <w:p w:rsidR="00B0252E" w:rsidRDefault="009723F2">
      <w:pPr>
        <w:spacing w:line="600" w:lineRule="exact"/>
        <w:ind w:firstLine="600"/>
        <w:rPr>
          <w:rFonts w:ascii="Times New Roman" w:eastAsia="Times New Roman" w:hAnsi="Times New Roman"/>
          <w:color w:val="FF0000"/>
          <w:sz w:val="30"/>
        </w:rPr>
      </w:pPr>
      <w:r>
        <w:rPr>
          <w:rFonts w:ascii="仿宋" w:eastAsia="仿宋" w:hAnsi="仿宋" w:hint="eastAsia"/>
          <w:b/>
          <w:sz w:val="30"/>
        </w:rPr>
        <w:lastRenderedPageBreak/>
        <w:t>1.因公出国（境）费</w:t>
      </w:r>
      <w:r>
        <w:rPr>
          <w:rFonts w:ascii="仿宋" w:eastAsia="仿宋" w:hAnsi="仿宋" w:hint="eastAsia"/>
          <w:sz w:val="30"/>
        </w:rPr>
        <w:t>支出0万元，共安排因公出国（境）团组0个，累计0人次。</w:t>
      </w:r>
    </w:p>
    <w:p w:rsidR="00B0252E" w:rsidRDefault="009723F2">
      <w:pPr>
        <w:spacing w:line="600" w:lineRule="exact"/>
        <w:ind w:firstLine="602"/>
        <w:jc w:val="left"/>
        <w:rPr>
          <w:rFonts w:ascii="Times New Roman" w:eastAsia="Times New Roman" w:hAnsi="Times New Roman"/>
          <w:sz w:val="30"/>
        </w:rPr>
      </w:pPr>
      <w:r>
        <w:rPr>
          <w:rFonts w:ascii="仿宋" w:eastAsia="仿宋" w:hAnsi="仿宋" w:hint="eastAsia"/>
          <w:b/>
          <w:sz w:val="30"/>
        </w:rPr>
        <w:t>2. 公务用车购置及运行维护费</w:t>
      </w:r>
      <w:r>
        <w:rPr>
          <w:rFonts w:ascii="仿宋" w:eastAsia="仿宋" w:hAnsi="仿宋" w:hint="eastAsia"/>
          <w:sz w:val="30"/>
        </w:rPr>
        <w:t>支出4.6万元。其中：</w:t>
      </w:r>
    </w:p>
    <w:p w:rsidR="00B0252E" w:rsidRDefault="009723F2">
      <w:pPr>
        <w:spacing w:line="600" w:lineRule="exact"/>
        <w:ind w:firstLine="600"/>
        <w:rPr>
          <w:rFonts w:ascii="Times New Roman" w:eastAsia="Times New Roman" w:hAnsi="Times New Roman"/>
          <w:color w:val="FF0000"/>
          <w:sz w:val="30"/>
        </w:rPr>
      </w:pPr>
      <w:r>
        <w:rPr>
          <w:rFonts w:ascii="仿宋" w:eastAsia="仿宋" w:hAnsi="仿宋" w:hint="eastAsia"/>
          <w:b/>
          <w:sz w:val="30"/>
        </w:rPr>
        <w:t>公务用车购置</w:t>
      </w:r>
      <w:r>
        <w:rPr>
          <w:rFonts w:ascii="仿宋" w:eastAsia="仿宋" w:hAnsi="仿宋" w:hint="eastAsia"/>
          <w:sz w:val="30"/>
        </w:rPr>
        <w:t>支出0万元，购置车辆0辆。</w:t>
      </w:r>
    </w:p>
    <w:p w:rsidR="00B0252E" w:rsidRDefault="009723F2">
      <w:pPr>
        <w:spacing w:line="600" w:lineRule="exact"/>
        <w:ind w:firstLine="602"/>
        <w:jc w:val="left"/>
        <w:rPr>
          <w:rFonts w:ascii="Times New Roman" w:eastAsia="Times New Roman" w:hAnsi="Times New Roman"/>
          <w:sz w:val="30"/>
        </w:rPr>
      </w:pPr>
      <w:r>
        <w:rPr>
          <w:rFonts w:ascii="仿宋" w:eastAsia="仿宋" w:hAnsi="仿宋" w:hint="eastAsia"/>
          <w:b/>
          <w:sz w:val="30"/>
        </w:rPr>
        <w:t>公务用车运行维护</w:t>
      </w:r>
      <w:r>
        <w:rPr>
          <w:rFonts w:ascii="仿宋" w:eastAsia="仿宋" w:hAnsi="仿宋" w:hint="eastAsia"/>
          <w:sz w:val="30"/>
        </w:rPr>
        <w:t>支出</w:t>
      </w:r>
      <w:r w:rsidR="00DC5C38">
        <w:rPr>
          <w:rFonts w:ascii="仿宋" w:eastAsia="仿宋" w:hAnsi="仿宋" w:hint="eastAsia"/>
          <w:sz w:val="30"/>
        </w:rPr>
        <w:t>7.34</w:t>
      </w:r>
      <w:r>
        <w:rPr>
          <w:rFonts w:ascii="仿宋" w:eastAsia="仿宋" w:hAnsi="仿宋" w:hint="eastAsia"/>
          <w:sz w:val="30"/>
        </w:rPr>
        <w:t>万元，开支财政拨款的公务用车保有量为2辆。主要用于（相关工作范围）所需车辆燃料费、维修费、过路过桥费、保险费等。</w:t>
      </w:r>
    </w:p>
    <w:p w:rsidR="00B0252E" w:rsidRDefault="009723F2">
      <w:pPr>
        <w:spacing w:line="600" w:lineRule="exact"/>
        <w:ind w:firstLine="602"/>
        <w:jc w:val="left"/>
        <w:rPr>
          <w:rFonts w:ascii="Times New Roman" w:eastAsia="Times New Roman" w:hAnsi="Times New Roman"/>
          <w:sz w:val="30"/>
        </w:rPr>
      </w:pPr>
      <w:r>
        <w:rPr>
          <w:rFonts w:ascii="仿宋" w:eastAsia="仿宋" w:hAnsi="仿宋" w:hint="eastAsia"/>
          <w:b/>
          <w:sz w:val="30"/>
        </w:rPr>
        <w:t>3.公务接待费</w:t>
      </w:r>
      <w:r>
        <w:rPr>
          <w:rFonts w:ascii="仿宋" w:eastAsia="仿宋" w:hAnsi="仿宋" w:hint="eastAsia"/>
          <w:sz w:val="30"/>
        </w:rPr>
        <w:t>支出</w:t>
      </w:r>
      <w:r w:rsidR="00DC5C38">
        <w:rPr>
          <w:rFonts w:ascii="仿宋" w:eastAsia="仿宋" w:hAnsi="仿宋" w:hint="eastAsia"/>
          <w:sz w:val="30"/>
        </w:rPr>
        <w:t>1.56</w:t>
      </w:r>
      <w:r>
        <w:rPr>
          <w:rFonts w:ascii="仿宋" w:eastAsia="仿宋" w:hAnsi="仿宋" w:hint="eastAsia"/>
          <w:sz w:val="30"/>
        </w:rPr>
        <w:t>万元。其中：</w:t>
      </w:r>
    </w:p>
    <w:p w:rsidR="00B0252E" w:rsidRDefault="009723F2">
      <w:pPr>
        <w:spacing w:line="600" w:lineRule="exact"/>
        <w:ind w:firstLine="600"/>
        <w:rPr>
          <w:rFonts w:ascii="Times New Roman" w:eastAsia="Times New Roman" w:hAnsi="Times New Roman"/>
          <w:color w:val="FF0000"/>
          <w:sz w:val="30"/>
        </w:rPr>
      </w:pPr>
      <w:r>
        <w:rPr>
          <w:rFonts w:ascii="仿宋" w:eastAsia="仿宋" w:hAnsi="仿宋" w:hint="eastAsia"/>
          <w:b/>
          <w:sz w:val="30"/>
        </w:rPr>
        <w:t>国内接待费</w:t>
      </w:r>
      <w:r>
        <w:rPr>
          <w:rFonts w:ascii="仿宋" w:eastAsia="仿宋" w:hAnsi="仿宋" w:hint="eastAsia"/>
          <w:sz w:val="30"/>
        </w:rPr>
        <w:t>支出</w:t>
      </w:r>
      <w:r w:rsidR="00DC5C38">
        <w:rPr>
          <w:rFonts w:ascii="仿宋" w:eastAsia="仿宋" w:hAnsi="仿宋" w:hint="eastAsia"/>
          <w:sz w:val="30"/>
        </w:rPr>
        <w:t>1.56</w:t>
      </w:r>
      <w:r>
        <w:rPr>
          <w:rFonts w:ascii="仿宋" w:eastAsia="仿宋" w:hAnsi="仿宋" w:hint="eastAsia"/>
          <w:sz w:val="30"/>
        </w:rPr>
        <w:t>万元（其中：外事接待费支出0万元），共安排国内公务接待</w:t>
      </w:r>
      <w:r w:rsidR="00DC5C38">
        <w:rPr>
          <w:rFonts w:ascii="仿宋" w:eastAsia="仿宋" w:hAnsi="仿宋" w:hint="eastAsia"/>
          <w:sz w:val="30"/>
        </w:rPr>
        <w:t>20</w:t>
      </w:r>
      <w:r>
        <w:rPr>
          <w:rFonts w:ascii="仿宋" w:eastAsia="仿宋" w:hAnsi="仿宋" w:hint="eastAsia"/>
          <w:sz w:val="30"/>
        </w:rPr>
        <w:t>批次（其中：外事接待0批次），接待人次</w:t>
      </w:r>
      <w:r w:rsidR="00DC5C38">
        <w:rPr>
          <w:rFonts w:ascii="仿宋" w:eastAsia="仿宋" w:hAnsi="仿宋" w:hint="eastAsia"/>
          <w:sz w:val="30"/>
        </w:rPr>
        <w:t>300</w:t>
      </w:r>
      <w:r>
        <w:rPr>
          <w:rFonts w:ascii="仿宋" w:eastAsia="仿宋" w:hAnsi="仿宋" w:hint="eastAsia"/>
          <w:sz w:val="30"/>
        </w:rPr>
        <w:t>人（其中：外事接待人次0人）。</w:t>
      </w:r>
      <w:r>
        <w:rPr>
          <w:rFonts w:ascii="仿宋" w:eastAsia="仿宋" w:hAnsi="仿宋" w:hint="eastAsia"/>
          <w:color w:val="000000" w:themeColor="text1"/>
          <w:sz w:val="30"/>
        </w:rPr>
        <w:t>主要用于脱贫攻坚任务交叉检查及日常工作检查发生的接待支出。</w:t>
      </w:r>
    </w:p>
    <w:p w:rsidR="00B0252E" w:rsidRDefault="009723F2">
      <w:pPr>
        <w:spacing w:line="600" w:lineRule="exact"/>
        <w:ind w:firstLine="600"/>
        <w:rPr>
          <w:rFonts w:ascii="Times New Roman" w:eastAsia="Times New Roman" w:hAnsi="Times New Roman"/>
          <w:sz w:val="30"/>
        </w:rPr>
      </w:pPr>
      <w:r>
        <w:rPr>
          <w:rFonts w:ascii="仿宋" w:eastAsia="仿宋" w:hAnsi="仿宋" w:hint="eastAsia"/>
          <w:b/>
          <w:sz w:val="30"/>
        </w:rPr>
        <w:t>国（境）外接待费</w:t>
      </w:r>
      <w:r>
        <w:rPr>
          <w:rFonts w:ascii="仿宋" w:eastAsia="仿宋" w:hAnsi="仿宋" w:hint="eastAsia"/>
          <w:sz w:val="30"/>
        </w:rPr>
        <w:t>支出0万元，共安排国（境）外公务接待0批次，接待人次0人。</w:t>
      </w:r>
    </w:p>
    <w:p w:rsidR="00B0252E" w:rsidRDefault="009723F2">
      <w:pPr>
        <w:spacing w:line="600" w:lineRule="exact"/>
        <w:ind w:firstLine="640"/>
        <w:jc w:val="center"/>
        <w:rPr>
          <w:rFonts w:ascii="Times New Roman" w:eastAsia="Times New Roman" w:hAnsi="Times New Roman"/>
          <w:sz w:val="32"/>
        </w:rPr>
      </w:pPr>
      <w:r>
        <w:rPr>
          <w:rFonts w:ascii="黑体" w:eastAsia="黑体" w:hAnsi="黑体" w:hint="eastAsia"/>
          <w:sz w:val="32"/>
        </w:rPr>
        <w:t>第四部分  其他重要事项及相关口径情况说明</w:t>
      </w:r>
    </w:p>
    <w:p w:rsidR="00B0252E" w:rsidRDefault="009723F2">
      <w:pPr>
        <w:spacing w:line="600" w:lineRule="exact"/>
        <w:ind w:firstLine="600"/>
        <w:jc w:val="left"/>
        <w:rPr>
          <w:rFonts w:ascii="Times New Roman" w:eastAsia="Times New Roman" w:hAnsi="Times New Roman"/>
          <w:sz w:val="30"/>
        </w:rPr>
      </w:pPr>
      <w:r>
        <w:rPr>
          <w:rFonts w:ascii="黑体" w:eastAsia="黑体" w:hAnsi="黑体" w:hint="eastAsia"/>
          <w:sz w:val="30"/>
        </w:rPr>
        <w:t>一、机关运行经费支出情况</w:t>
      </w:r>
    </w:p>
    <w:p w:rsidR="00CF2361" w:rsidRDefault="009723F2" w:rsidP="00CF2361">
      <w:pPr>
        <w:ind w:firstLineChars="200" w:firstLine="600"/>
        <w:jc w:val="left"/>
        <w:rPr>
          <w:rFonts w:ascii="仿宋_GB2312" w:eastAsia="仿宋_GB2312" w:hAnsi="黑体" w:cs="方正小标宋简体"/>
          <w:sz w:val="30"/>
          <w:szCs w:val="30"/>
        </w:rPr>
      </w:pPr>
      <w:r>
        <w:rPr>
          <w:rFonts w:ascii="仿宋" w:eastAsia="仿宋" w:hAnsi="仿宋" w:hint="eastAsia"/>
          <w:sz w:val="30"/>
        </w:rPr>
        <w:t>德宏州梁河县</w:t>
      </w:r>
      <w:r w:rsidR="007D14E4">
        <w:rPr>
          <w:rFonts w:ascii="仿宋" w:eastAsia="仿宋" w:hAnsi="仿宋" w:hint="eastAsia"/>
          <w:sz w:val="30"/>
        </w:rPr>
        <w:t>大厂</w:t>
      </w:r>
      <w:r>
        <w:rPr>
          <w:rFonts w:ascii="仿宋" w:eastAsia="仿宋" w:hAnsi="仿宋" w:hint="eastAsia"/>
          <w:sz w:val="30"/>
        </w:rPr>
        <w:t>乡部门2019年机关运行经费支出</w:t>
      </w:r>
      <w:r w:rsidR="00CF2361">
        <w:rPr>
          <w:rFonts w:ascii="仿宋" w:eastAsia="仿宋" w:hAnsi="仿宋" w:hint="eastAsia"/>
          <w:color w:val="000000" w:themeColor="text1"/>
          <w:sz w:val="30"/>
        </w:rPr>
        <w:t>182.29</w:t>
      </w:r>
      <w:r>
        <w:rPr>
          <w:rFonts w:ascii="仿宋" w:eastAsia="仿宋" w:hAnsi="仿宋" w:hint="eastAsia"/>
          <w:color w:val="000000" w:themeColor="text1"/>
          <w:sz w:val="30"/>
        </w:rPr>
        <w:t>万元，与上年</w:t>
      </w:r>
      <w:r w:rsidR="00CF2361">
        <w:rPr>
          <w:rFonts w:ascii="仿宋_GB2312" w:eastAsia="仿宋_GB2312" w:hAnsi="黑体" w:cs="方正小标宋简体" w:hint="eastAsia"/>
          <w:sz w:val="30"/>
          <w:szCs w:val="30"/>
        </w:rPr>
        <w:t>79.62</w:t>
      </w:r>
      <w:r>
        <w:rPr>
          <w:rFonts w:ascii="仿宋" w:eastAsia="仿宋" w:hAnsi="仿宋" w:hint="eastAsia"/>
          <w:color w:val="000000" w:themeColor="text1"/>
          <w:sz w:val="30"/>
        </w:rPr>
        <w:t>万元相比，</w:t>
      </w:r>
      <w:r w:rsidR="00CF2361">
        <w:rPr>
          <w:rFonts w:ascii="仿宋" w:eastAsia="仿宋" w:hAnsi="仿宋" w:hint="eastAsia"/>
          <w:color w:val="000000" w:themeColor="text1"/>
          <w:sz w:val="30"/>
        </w:rPr>
        <w:t>增加</w:t>
      </w:r>
      <w:r>
        <w:rPr>
          <w:rFonts w:ascii="仿宋" w:eastAsia="仿宋" w:hAnsi="仿宋" w:hint="eastAsia"/>
          <w:color w:val="000000" w:themeColor="text1"/>
          <w:sz w:val="30"/>
        </w:rPr>
        <w:t>了</w:t>
      </w:r>
      <w:r w:rsidR="00CF2361">
        <w:rPr>
          <w:rFonts w:ascii="仿宋" w:eastAsia="仿宋" w:hAnsi="仿宋" w:hint="eastAsia"/>
          <w:color w:val="000000" w:themeColor="text1"/>
          <w:sz w:val="30"/>
        </w:rPr>
        <w:t>102.67</w:t>
      </w:r>
      <w:r>
        <w:rPr>
          <w:rFonts w:ascii="仿宋" w:eastAsia="仿宋" w:hAnsi="仿宋" w:hint="eastAsia"/>
          <w:color w:val="000000" w:themeColor="text1"/>
          <w:sz w:val="30"/>
        </w:rPr>
        <w:t>万元，</w:t>
      </w:r>
      <w:r w:rsidR="00CF2361">
        <w:rPr>
          <w:rFonts w:ascii="仿宋" w:eastAsia="仿宋" w:hAnsi="仿宋" w:hint="eastAsia"/>
          <w:color w:val="000000" w:themeColor="text1"/>
          <w:sz w:val="30"/>
        </w:rPr>
        <w:t>增加56.32</w:t>
      </w:r>
      <w:r>
        <w:rPr>
          <w:rFonts w:ascii="仿宋" w:eastAsia="仿宋" w:hAnsi="仿宋" w:hint="eastAsia"/>
          <w:color w:val="000000" w:themeColor="text1"/>
          <w:sz w:val="30"/>
        </w:rPr>
        <w:t>%，主要原因是我部门</w:t>
      </w:r>
      <w:r w:rsidR="00CF2361">
        <w:rPr>
          <w:rFonts w:ascii="仿宋_GB2312" w:eastAsia="仿宋_GB2312" w:hAnsi="黑体" w:cs="方正小标宋简体" w:hint="eastAsia"/>
          <w:sz w:val="30"/>
          <w:szCs w:val="30"/>
        </w:rPr>
        <w:t>开展会议次数增多。部门机关运行经费主要用于办公费开支如购买纸张、笔、碳粉等其他办公用品数量，广告宣传</w:t>
      </w:r>
      <w:r w:rsidR="00CF2361">
        <w:rPr>
          <w:rFonts w:ascii="仿宋_GB2312" w:eastAsia="仿宋_GB2312" w:hAnsi="黑体" w:cs="方正小标宋简体" w:hint="eastAsia"/>
          <w:sz w:val="30"/>
          <w:szCs w:val="30"/>
        </w:rPr>
        <w:lastRenderedPageBreak/>
        <w:t>栏制作，脱贫会议及其他年度部门所属工作安排的会议与去年相比增加了</w:t>
      </w:r>
      <w:r w:rsidR="0080087B">
        <w:rPr>
          <w:rFonts w:ascii="仿宋_GB2312" w:eastAsia="仿宋_GB2312" w:hAnsi="黑体" w:cs="方正小标宋简体" w:hint="eastAsia"/>
          <w:sz w:val="30"/>
          <w:szCs w:val="30"/>
        </w:rPr>
        <w:t>不少</w:t>
      </w:r>
      <w:r w:rsidR="00CF2361">
        <w:rPr>
          <w:rFonts w:ascii="仿宋_GB2312" w:eastAsia="仿宋_GB2312" w:hAnsi="黑体" w:cs="方正小标宋简体" w:hint="eastAsia"/>
          <w:sz w:val="30"/>
          <w:szCs w:val="30"/>
        </w:rPr>
        <w:t>，比如每月必须开的职工月例会。</w:t>
      </w:r>
    </w:p>
    <w:p w:rsidR="00B0252E" w:rsidRDefault="009723F2">
      <w:pPr>
        <w:spacing w:line="600" w:lineRule="exact"/>
        <w:ind w:firstLine="600"/>
        <w:rPr>
          <w:rFonts w:ascii="Times New Roman" w:eastAsia="Times New Roman" w:hAnsi="Times New Roman"/>
          <w:color w:val="FF0000"/>
          <w:sz w:val="30"/>
        </w:rPr>
      </w:pPr>
      <w:r>
        <w:rPr>
          <w:rFonts w:ascii="仿宋" w:eastAsia="仿宋" w:hAnsi="仿宋" w:hint="eastAsia"/>
          <w:color w:val="000000" w:themeColor="text1"/>
          <w:sz w:val="30"/>
        </w:rPr>
        <w:t>部门机关运行经费主要用于办公费</w:t>
      </w:r>
      <w:r w:rsidR="00FB44EF">
        <w:rPr>
          <w:rFonts w:ascii="仿宋" w:eastAsia="仿宋" w:hAnsi="仿宋" w:hint="eastAsia"/>
          <w:color w:val="000000" w:themeColor="text1"/>
          <w:sz w:val="30"/>
        </w:rPr>
        <w:t>29.38</w:t>
      </w:r>
      <w:r>
        <w:rPr>
          <w:rFonts w:ascii="仿宋" w:eastAsia="仿宋" w:hAnsi="仿宋" w:hint="eastAsia"/>
          <w:color w:val="000000" w:themeColor="text1"/>
          <w:sz w:val="30"/>
        </w:rPr>
        <w:t>万元主要用于日常工作开展支出，会议费</w:t>
      </w:r>
      <w:r w:rsidR="00171EA1">
        <w:rPr>
          <w:rFonts w:ascii="仿宋" w:eastAsia="仿宋" w:hAnsi="仿宋" w:hint="eastAsia"/>
          <w:color w:val="000000" w:themeColor="text1"/>
          <w:sz w:val="30"/>
        </w:rPr>
        <w:t>27.91</w:t>
      </w:r>
      <w:r>
        <w:rPr>
          <w:rFonts w:ascii="仿宋" w:eastAsia="仿宋" w:hAnsi="仿宋" w:hint="eastAsia"/>
          <w:color w:val="000000" w:themeColor="text1"/>
          <w:sz w:val="30"/>
        </w:rPr>
        <w:t>万元主要用于会议支出、培训费</w:t>
      </w:r>
      <w:r w:rsidR="00171EA1">
        <w:rPr>
          <w:rFonts w:ascii="仿宋" w:eastAsia="仿宋" w:hAnsi="仿宋" w:hint="eastAsia"/>
          <w:color w:val="000000" w:themeColor="text1"/>
          <w:sz w:val="30"/>
        </w:rPr>
        <w:t>33</w:t>
      </w:r>
      <w:r w:rsidR="00FB44EF">
        <w:rPr>
          <w:rFonts w:ascii="仿宋" w:eastAsia="仿宋" w:hAnsi="仿宋" w:hint="eastAsia"/>
          <w:color w:val="000000" w:themeColor="text1"/>
          <w:sz w:val="30"/>
        </w:rPr>
        <w:t>2</w:t>
      </w:r>
      <w:r>
        <w:rPr>
          <w:rFonts w:ascii="仿宋" w:eastAsia="仿宋" w:hAnsi="仿宋" w:hint="eastAsia"/>
          <w:color w:val="000000" w:themeColor="text1"/>
          <w:sz w:val="30"/>
        </w:rPr>
        <w:t>万元主要用于培训支出，公务接待费</w:t>
      </w:r>
      <w:r w:rsidR="00CF2361">
        <w:rPr>
          <w:rFonts w:ascii="仿宋" w:eastAsia="仿宋" w:hAnsi="仿宋" w:hint="eastAsia"/>
          <w:color w:val="000000" w:themeColor="text1"/>
          <w:sz w:val="30"/>
        </w:rPr>
        <w:t>1.56</w:t>
      </w:r>
      <w:r>
        <w:rPr>
          <w:rFonts w:ascii="仿宋" w:eastAsia="仿宋" w:hAnsi="仿宋" w:hint="eastAsia"/>
          <w:color w:val="000000" w:themeColor="text1"/>
          <w:sz w:val="30"/>
        </w:rPr>
        <w:t>万元主要用于脱贫攻坚任务交叉检查及日常工作检查的接待支出，</w:t>
      </w:r>
      <w:r w:rsidR="00FB44EF">
        <w:rPr>
          <w:rFonts w:ascii="仿宋" w:eastAsia="仿宋" w:hAnsi="仿宋" w:hint="eastAsia"/>
          <w:color w:val="000000" w:themeColor="text1"/>
          <w:sz w:val="30"/>
        </w:rPr>
        <w:t>公务用车运行维护费8.43万元主要用于公车油费及维修费，</w:t>
      </w:r>
      <w:r>
        <w:rPr>
          <w:rFonts w:ascii="仿宋" w:eastAsia="仿宋" w:hAnsi="仿宋" w:hint="eastAsia"/>
          <w:color w:val="000000" w:themeColor="text1"/>
          <w:sz w:val="30"/>
        </w:rPr>
        <w:t>劳务费</w:t>
      </w:r>
      <w:r w:rsidR="00FB44EF">
        <w:rPr>
          <w:rFonts w:ascii="仿宋" w:eastAsia="仿宋" w:hAnsi="仿宋" w:hint="eastAsia"/>
          <w:color w:val="000000" w:themeColor="text1"/>
          <w:sz w:val="30"/>
        </w:rPr>
        <w:t>23.28万元主要用于支付临时工及志愿者工资</w:t>
      </w:r>
      <w:r>
        <w:rPr>
          <w:rFonts w:ascii="仿宋" w:eastAsia="仿宋" w:hAnsi="仿宋" w:hint="eastAsia"/>
          <w:color w:val="000000" w:themeColor="text1"/>
          <w:sz w:val="30"/>
        </w:rPr>
        <w:t>、建档立卡贫困人口生态护林员工资等支出，其他交通费</w:t>
      </w:r>
      <w:r w:rsidR="00FB44EF">
        <w:rPr>
          <w:rFonts w:ascii="仿宋" w:eastAsia="仿宋" w:hAnsi="仿宋" w:hint="eastAsia"/>
          <w:color w:val="000000" w:themeColor="text1"/>
          <w:sz w:val="30"/>
        </w:rPr>
        <w:t>25.04</w:t>
      </w:r>
      <w:r>
        <w:rPr>
          <w:rFonts w:ascii="仿宋" w:eastAsia="仿宋" w:hAnsi="仿宋" w:hint="eastAsia"/>
          <w:color w:val="000000" w:themeColor="text1"/>
          <w:sz w:val="30"/>
        </w:rPr>
        <w:t>万元主要用于交通补贴支出，其他商品与服务支出</w:t>
      </w:r>
      <w:r w:rsidR="00FB44EF">
        <w:rPr>
          <w:rFonts w:ascii="仿宋" w:eastAsia="仿宋" w:hAnsi="仿宋" w:hint="eastAsia"/>
          <w:color w:val="000000" w:themeColor="text1"/>
          <w:sz w:val="30"/>
        </w:rPr>
        <w:t>22.5</w:t>
      </w:r>
      <w:r>
        <w:rPr>
          <w:rFonts w:ascii="仿宋" w:eastAsia="仿宋" w:hAnsi="仿宋" w:hint="eastAsia"/>
          <w:color w:val="000000" w:themeColor="text1"/>
          <w:sz w:val="30"/>
        </w:rPr>
        <w:t>万元主要</w:t>
      </w:r>
      <w:r w:rsidR="00FB44EF">
        <w:rPr>
          <w:rFonts w:ascii="仿宋" w:eastAsia="仿宋" w:hAnsi="仿宋" w:hint="eastAsia"/>
          <w:color w:val="000000" w:themeColor="text1"/>
          <w:sz w:val="30"/>
        </w:rPr>
        <w:t>用于购买家具用具装具及其他生活用品。</w:t>
      </w:r>
    </w:p>
    <w:p w:rsidR="00B0252E" w:rsidRDefault="009723F2">
      <w:pPr>
        <w:spacing w:line="600" w:lineRule="exact"/>
        <w:ind w:firstLine="600"/>
        <w:jc w:val="left"/>
        <w:rPr>
          <w:rFonts w:ascii="Times New Roman" w:eastAsia="Times New Roman" w:hAnsi="Times New Roman"/>
          <w:sz w:val="30"/>
        </w:rPr>
      </w:pPr>
      <w:r>
        <w:rPr>
          <w:rFonts w:ascii="黑体" w:eastAsia="黑体" w:hAnsi="黑体" w:hint="eastAsia"/>
          <w:sz w:val="30"/>
        </w:rPr>
        <w:t>二、国有资产占用情况</w:t>
      </w:r>
    </w:p>
    <w:p w:rsidR="007A6F9E" w:rsidRDefault="009723F2" w:rsidP="007A6F9E">
      <w:pPr>
        <w:spacing w:line="600" w:lineRule="exact"/>
        <w:ind w:firstLine="600"/>
        <w:jc w:val="left"/>
        <w:rPr>
          <w:rFonts w:ascii="仿宋" w:eastAsia="仿宋" w:hAnsi="仿宋"/>
          <w:color w:val="000000" w:themeColor="text1"/>
          <w:sz w:val="30"/>
        </w:rPr>
      </w:pPr>
      <w:r>
        <w:rPr>
          <w:rFonts w:ascii="仿宋" w:eastAsia="仿宋" w:hAnsi="仿宋" w:hint="eastAsia"/>
          <w:color w:val="000000" w:themeColor="text1"/>
          <w:sz w:val="30"/>
        </w:rPr>
        <w:t>截至2019年12月31日，德宏州梁河县</w:t>
      </w:r>
      <w:r w:rsidR="007D14E4">
        <w:rPr>
          <w:rFonts w:ascii="仿宋" w:eastAsia="仿宋" w:hAnsi="仿宋" w:hint="eastAsia"/>
          <w:color w:val="000000" w:themeColor="text1"/>
          <w:sz w:val="30"/>
        </w:rPr>
        <w:t>大厂</w:t>
      </w:r>
      <w:r>
        <w:rPr>
          <w:rFonts w:ascii="仿宋" w:eastAsia="仿宋" w:hAnsi="仿宋" w:hint="eastAsia"/>
          <w:color w:val="000000" w:themeColor="text1"/>
          <w:sz w:val="30"/>
        </w:rPr>
        <w:t>乡部门资产总额</w:t>
      </w:r>
      <w:r w:rsidR="007A6F9E">
        <w:rPr>
          <w:rFonts w:ascii="仿宋" w:eastAsia="仿宋" w:hAnsi="仿宋" w:hint="eastAsia"/>
          <w:color w:val="000000" w:themeColor="text1"/>
          <w:sz w:val="30"/>
        </w:rPr>
        <w:t>794.55</w:t>
      </w:r>
      <w:r>
        <w:rPr>
          <w:rFonts w:ascii="仿宋" w:eastAsia="仿宋" w:hAnsi="仿宋" w:hint="eastAsia"/>
          <w:color w:val="000000" w:themeColor="text1"/>
          <w:kern w:val="0"/>
          <w:sz w:val="30"/>
        </w:rPr>
        <w:t>万</w:t>
      </w:r>
      <w:r>
        <w:rPr>
          <w:rFonts w:ascii="仿宋" w:eastAsia="仿宋" w:hAnsi="仿宋" w:hint="eastAsia"/>
          <w:color w:val="000000" w:themeColor="text1"/>
          <w:sz w:val="30"/>
        </w:rPr>
        <w:t>元，其中，流动资产</w:t>
      </w:r>
      <w:r w:rsidR="00FB44EF">
        <w:rPr>
          <w:rFonts w:ascii="仿宋" w:eastAsia="仿宋" w:hAnsi="仿宋" w:hint="eastAsia"/>
          <w:color w:val="000000" w:themeColor="text1"/>
          <w:sz w:val="30"/>
        </w:rPr>
        <w:t>674.51</w:t>
      </w:r>
      <w:r>
        <w:rPr>
          <w:rFonts w:ascii="仿宋" w:eastAsia="仿宋" w:hAnsi="仿宋" w:hint="eastAsia"/>
          <w:color w:val="000000" w:themeColor="text1"/>
          <w:kern w:val="0"/>
          <w:sz w:val="30"/>
        </w:rPr>
        <w:t>万</w:t>
      </w:r>
      <w:r>
        <w:rPr>
          <w:rFonts w:ascii="仿宋" w:eastAsia="仿宋" w:hAnsi="仿宋" w:hint="eastAsia"/>
          <w:color w:val="000000" w:themeColor="text1"/>
          <w:sz w:val="30"/>
        </w:rPr>
        <w:t>元，固定资产</w:t>
      </w:r>
      <w:r w:rsidR="007A6F9E">
        <w:rPr>
          <w:rFonts w:ascii="仿宋" w:eastAsia="仿宋" w:hAnsi="仿宋" w:hint="eastAsia"/>
          <w:color w:val="000000" w:themeColor="text1"/>
          <w:sz w:val="30"/>
        </w:rPr>
        <w:t>120.04</w:t>
      </w:r>
      <w:r>
        <w:rPr>
          <w:rFonts w:ascii="仿宋" w:eastAsia="仿宋" w:hAnsi="仿宋" w:hint="eastAsia"/>
          <w:color w:val="000000" w:themeColor="text1"/>
          <w:kern w:val="0"/>
          <w:sz w:val="30"/>
        </w:rPr>
        <w:t>万</w:t>
      </w:r>
      <w:r>
        <w:rPr>
          <w:rFonts w:ascii="仿宋" w:eastAsia="仿宋" w:hAnsi="仿宋" w:hint="eastAsia"/>
          <w:color w:val="000000" w:themeColor="text1"/>
          <w:sz w:val="30"/>
        </w:rPr>
        <w:t>元，对外投资及有价证券0</w:t>
      </w:r>
      <w:r>
        <w:rPr>
          <w:rFonts w:ascii="仿宋" w:eastAsia="仿宋" w:hAnsi="仿宋" w:hint="eastAsia"/>
          <w:color w:val="000000" w:themeColor="text1"/>
          <w:kern w:val="0"/>
          <w:sz w:val="30"/>
        </w:rPr>
        <w:t>万</w:t>
      </w:r>
      <w:r>
        <w:rPr>
          <w:rFonts w:ascii="仿宋" w:eastAsia="仿宋" w:hAnsi="仿宋" w:hint="eastAsia"/>
          <w:color w:val="000000" w:themeColor="text1"/>
          <w:sz w:val="30"/>
        </w:rPr>
        <w:t>元，在建工程0</w:t>
      </w:r>
      <w:r>
        <w:rPr>
          <w:rFonts w:ascii="仿宋" w:eastAsia="仿宋" w:hAnsi="仿宋" w:hint="eastAsia"/>
          <w:color w:val="000000" w:themeColor="text1"/>
          <w:kern w:val="0"/>
          <w:sz w:val="30"/>
        </w:rPr>
        <w:t>万</w:t>
      </w:r>
      <w:r>
        <w:rPr>
          <w:rFonts w:ascii="仿宋" w:eastAsia="仿宋" w:hAnsi="仿宋" w:hint="eastAsia"/>
          <w:color w:val="000000" w:themeColor="text1"/>
          <w:sz w:val="30"/>
        </w:rPr>
        <w:t>元，无形资产5</w:t>
      </w:r>
      <w:r>
        <w:rPr>
          <w:rFonts w:ascii="仿宋" w:eastAsia="仿宋" w:hAnsi="仿宋" w:hint="eastAsia"/>
          <w:color w:val="000000" w:themeColor="text1"/>
          <w:kern w:val="0"/>
          <w:sz w:val="30"/>
        </w:rPr>
        <w:t>万</w:t>
      </w:r>
      <w:r>
        <w:rPr>
          <w:rFonts w:ascii="仿宋" w:eastAsia="仿宋" w:hAnsi="仿宋" w:hint="eastAsia"/>
          <w:color w:val="000000" w:themeColor="text1"/>
          <w:sz w:val="30"/>
        </w:rPr>
        <w:t>元，其他资产0</w:t>
      </w:r>
      <w:r>
        <w:rPr>
          <w:rFonts w:ascii="仿宋" w:eastAsia="仿宋" w:hAnsi="仿宋" w:hint="eastAsia"/>
          <w:color w:val="000000" w:themeColor="text1"/>
          <w:kern w:val="0"/>
          <w:sz w:val="30"/>
        </w:rPr>
        <w:t>万</w:t>
      </w:r>
      <w:r>
        <w:rPr>
          <w:rFonts w:ascii="仿宋" w:eastAsia="仿宋" w:hAnsi="仿宋" w:hint="eastAsia"/>
          <w:color w:val="000000" w:themeColor="text1"/>
          <w:sz w:val="30"/>
        </w:rPr>
        <w:t>元（具体内容详见附表）。与上年相比，本年资产总额</w:t>
      </w:r>
      <w:r w:rsidR="0080087B">
        <w:rPr>
          <w:rFonts w:ascii="仿宋" w:eastAsia="仿宋" w:hAnsi="仿宋" w:hint="eastAsia"/>
          <w:color w:val="000000" w:themeColor="text1"/>
          <w:sz w:val="30"/>
        </w:rPr>
        <w:t>增加</w:t>
      </w:r>
      <w:r w:rsidR="007A6F9E">
        <w:rPr>
          <w:rFonts w:ascii="仿宋" w:eastAsia="仿宋" w:hAnsi="仿宋" w:hint="eastAsia"/>
          <w:color w:val="000000" w:themeColor="text1"/>
          <w:sz w:val="30"/>
        </w:rPr>
        <w:t>3.45</w:t>
      </w:r>
      <w:r>
        <w:rPr>
          <w:rFonts w:ascii="仿宋" w:eastAsia="仿宋" w:hAnsi="仿宋" w:hint="eastAsia"/>
          <w:color w:val="000000" w:themeColor="text1"/>
          <w:sz w:val="30"/>
        </w:rPr>
        <w:t>万元，其中;流动资产</w:t>
      </w:r>
      <w:r w:rsidR="0080087B">
        <w:rPr>
          <w:rFonts w:ascii="仿宋" w:eastAsia="仿宋" w:hAnsi="仿宋" w:hint="eastAsia"/>
          <w:color w:val="000000" w:themeColor="text1"/>
          <w:sz w:val="30"/>
        </w:rPr>
        <w:t>增加161.87</w:t>
      </w:r>
      <w:r>
        <w:rPr>
          <w:rFonts w:ascii="仿宋" w:eastAsia="仿宋" w:hAnsi="仿宋" w:hint="eastAsia"/>
          <w:color w:val="000000" w:themeColor="text1"/>
          <w:sz w:val="30"/>
        </w:rPr>
        <w:t>万元，固定资产</w:t>
      </w:r>
      <w:r w:rsidR="0080087B">
        <w:rPr>
          <w:rFonts w:ascii="仿宋" w:eastAsia="仿宋" w:hAnsi="仿宋" w:hint="eastAsia"/>
          <w:color w:val="000000" w:themeColor="text1"/>
          <w:sz w:val="30"/>
        </w:rPr>
        <w:t>减少1</w:t>
      </w:r>
      <w:r w:rsidR="00171EA1">
        <w:rPr>
          <w:rFonts w:ascii="仿宋" w:eastAsia="仿宋" w:hAnsi="仿宋" w:hint="eastAsia"/>
          <w:color w:val="000000" w:themeColor="text1"/>
          <w:sz w:val="30"/>
        </w:rPr>
        <w:t>58.44</w:t>
      </w:r>
      <w:r>
        <w:rPr>
          <w:rFonts w:ascii="仿宋" w:eastAsia="仿宋" w:hAnsi="仿宋" w:hint="eastAsia"/>
          <w:color w:val="000000" w:themeColor="text1"/>
          <w:sz w:val="30"/>
        </w:rPr>
        <w:t>万元</w:t>
      </w:r>
      <w:r>
        <w:rPr>
          <w:rFonts w:ascii="Times New Roman" w:eastAsia="Times New Roman" w:hAnsi="Times New Roman"/>
          <w:color w:val="000000" w:themeColor="text1"/>
          <w:sz w:val="30"/>
        </w:rPr>
        <w:t>,</w:t>
      </w:r>
      <w:r>
        <w:rPr>
          <w:rFonts w:ascii="仿宋" w:eastAsia="仿宋" w:hAnsi="仿宋" w:hint="eastAsia"/>
          <w:color w:val="000000" w:themeColor="text1"/>
          <w:sz w:val="30"/>
        </w:rPr>
        <w:t>对外投资及有价证券与上年一致，在建工程与上年一致，无形资产与上年一致，其他资产与上年一致。处置房屋建筑物0平方米，账面原值0万元；处置车辆1辆，账面原值</w:t>
      </w:r>
      <w:r w:rsidR="0080087B">
        <w:rPr>
          <w:rFonts w:ascii="仿宋" w:eastAsia="仿宋" w:hAnsi="仿宋" w:hint="eastAsia"/>
          <w:color w:val="000000" w:themeColor="text1"/>
          <w:sz w:val="30"/>
        </w:rPr>
        <w:t>34.8</w:t>
      </w:r>
      <w:r>
        <w:rPr>
          <w:rFonts w:ascii="仿宋" w:eastAsia="仿宋" w:hAnsi="仿宋" w:hint="eastAsia"/>
          <w:color w:val="000000" w:themeColor="text1"/>
          <w:sz w:val="30"/>
        </w:rPr>
        <w:t>万元；出租房屋0平方米，账面原值0万元，实现资产使用收入0万元。</w:t>
      </w:r>
    </w:p>
    <w:tbl>
      <w:tblPr>
        <w:tblpPr w:leftFromText="180" w:rightFromText="180" w:topFromText="100" w:bottomFromText="100" w:vertAnchor="text" w:horzAnchor="page" w:tblpX="534" w:tblpY="490"/>
        <w:tblOverlap w:val="never"/>
        <w:tblW w:w="10770" w:type="dxa"/>
        <w:tblLayout w:type="fixed"/>
        <w:tblCellMar>
          <w:left w:w="0" w:type="dxa"/>
          <w:right w:w="0" w:type="dxa"/>
        </w:tblCellMar>
        <w:tblLook w:val="0000"/>
      </w:tblPr>
      <w:tblGrid>
        <w:gridCol w:w="715"/>
        <w:gridCol w:w="546"/>
        <w:gridCol w:w="700"/>
        <w:gridCol w:w="684"/>
        <w:gridCol w:w="631"/>
        <w:gridCol w:w="568"/>
        <w:gridCol w:w="769"/>
        <w:gridCol w:w="67"/>
        <w:gridCol w:w="865"/>
        <w:gridCol w:w="331"/>
        <w:gridCol w:w="643"/>
        <w:gridCol w:w="196"/>
        <w:gridCol w:w="978"/>
        <w:gridCol w:w="979"/>
        <w:gridCol w:w="360"/>
        <w:gridCol w:w="618"/>
        <w:gridCol w:w="360"/>
        <w:gridCol w:w="142"/>
        <w:gridCol w:w="618"/>
      </w:tblGrid>
      <w:tr w:rsidR="007A6F9E" w:rsidTr="00171EA1">
        <w:trPr>
          <w:trHeight w:val="495"/>
        </w:trPr>
        <w:tc>
          <w:tcPr>
            <w:tcW w:w="10770" w:type="dxa"/>
            <w:gridSpan w:val="19"/>
            <w:tcBorders>
              <w:top w:val="nil"/>
              <w:left w:val="nil"/>
              <w:bottom w:val="nil"/>
              <w:right w:val="nil"/>
            </w:tcBorders>
            <w:shd w:val="clear" w:color="auto" w:fill="FFFFFF"/>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仿宋_GB2312" w:eastAsia="仿宋_GB2312" w:hAnsi="方正小标宋_GBK" w:cs="方正小标宋_GBK" w:hint="eastAsia"/>
                <w:b/>
                <w:color w:val="000000"/>
                <w:kern w:val="0"/>
                <w:sz w:val="30"/>
                <w:szCs w:val="30"/>
              </w:rPr>
              <w:lastRenderedPageBreak/>
              <w:t>国有资产占有使用情况表</w:t>
            </w:r>
          </w:p>
        </w:tc>
      </w:tr>
      <w:tr w:rsidR="007A6F9E" w:rsidTr="00171EA1">
        <w:trPr>
          <w:trHeight w:val="347"/>
        </w:trPr>
        <w:tc>
          <w:tcPr>
            <w:tcW w:w="4680" w:type="dxa"/>
            <w:gridSpan w:val="8"/>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7A6F9E" w:rsidRDefault="007A6F9E" w:rsidP="00131146">
            <w:pPr>
              <w:jc w:val="left"/>
              <w:textAlignment w:val="center"/>
              <w:rPr>
                <w:rFonts w:ascii="宋体" w:hAnsi="宋体" w:cs="宋体"/>
                <w:color w:val="000000"/>
                <w:kern w:val="0"/>
                <w:sz w:val="24"/>
              </w:rPr>
            </w:pPr>
            <w:r>
              <w:rPr>
                <w:rFonts w:ascii="宋体" w:hAnsi="宋体" w:cs="宋体" w:hint="eastAsia"/>
                <w:color w:val="000000"/>
                <w:kern w:val="0"/>
                <w:sz w:val="20"/>
              </w:rPr>
              <w:t> </w:t>
            </w:r>
          </w:p>
        </w:tc>
        <w:tc>
          <w:tcPr>
            <w:tcW w:w="865"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7A6F9E" w:rsidRDefault="007A6F9E" w:rsidP="00131146">
            <w:pPr>
              <w:jc w:val="left"/>
              <w:rPr>
                <w:rFonts w:ascii="宋体" w:hAnsi="宋体" w:cs="宋体"/>
                <w:color w:val="000000"/>
                <w:kern w:val="0"/>
                <w:sz w:val="24"/>
              </w:rPr>
            </w:pPr>
            <w:r>
              <w:rPr>
                <w:rFonts w:ascii="宋体" w:hAnsi="宋体" w:cs="宋体" w:hint="eastAsia"/>
                <w:color w:val="000000"/>
                <w:kern w:val="0"/>
                <w:sz w:val="20"/>
              </w:rPr>
              <w:t> </w:t>
            </w:r>
          </w:p>
        </w:tc>
        <w:tc>
          <w:tcPr>
            <w:tcW w:w="974" w:type="dxa"/>
            <w:gridSpan w:val="2"/>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7A6F9E" w:rsidRDefault="007A6F9E" w:rsidP="00131146">
            <w:pPr>
              <w:jc w:val="left"/>
              <w:rPr>
                <w:rFonts w:ascii="宋体" w:hAnsi="宋体" w:cs="宋体"/>
                <w:color w:val="000000"/>
                <w:kern w:val="0"/>
                <w:sz w:val="24"/>
              </w:rPr>
            </w:pPr>
            <w:r>
              <w:rPr>
                <w:rFonts w:ascii="宋体" w:hAnsi="宋体" w:cs="宋体" w:hint="eastAsia"/>
                <w:color w:val="000000"/>
                <w:kern w:val="0"/>
                <w:sz w:val="20"/>
              </w:rPr>
              <w:t> </w:t>
            </w:r>
          </w:p>
        </w:tc>
        <w:tc>
          <w:tcPr>
            <w:tcW w:w="196"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7A6F9E" w:rsidRDefault="007A6F9E" w:rsidP="00131146">
            <w:pPr>
              <w:jc w:val="left"/>
              <w:rPr>
                <w:rFonts w:ascii="宋体" w:hAnsi="宋体" w:cs="宋体"/>
                <w:color w:val="000000"/>
                <w:kern w:val="0"/>
                <w:sz w:val="24"/>
              </w:rPr>
            </w:pPr>
            <w:r>
              <w:rPr>
                <w:rFonts w:ascii="宋体" w:hAnsi="宋体" w:cs="宋体" w:hint="eastAsia"/>
                <w:color w:val="000000"/>
                <w:kern w:val="0"/>
                <w:sz w:val="20"/>
              </w:rPr>
              <w:t> </w:t>
            </w:r>
          </w:p>
        </w:tc>
        <w:tc>
          <w:tcPr>
            <w:tcW w:w="978"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7A6F9E" w:rsidRDefault="007A6F9E" w:rsidP="00131146">
            <w:pPr>
              <w:jc w:val="left"/>
              <w:rPr>
                <w:rFonts w:ascii="宋体" w:hAnsi="宋体" w:cs="宋体"/>
                <w:color w:val="000000"/>
                <w:kern w:val="0"/>
                <w:sz w:val="24"/>
              </w:rPr>
            </w:pPr>
            <w:r>
              <w:rPr>
                <w:rFonts w:ascii="宋体" w:hAnsi="宋体" w:cs="宋体" w:hint="eastAsia"/>
                <w:color w:val="000000"/>
                <w:kern w:val="0"/>
                <w:sz w:val="20"/>
              </w:rPr>
              <w:t> </w:t>
            </w:r>
          </w:p>
        </w:tc>
        <w:tc>
          <w:tcPr>
            <w:tcW w:w="979"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7A6F9E" w:rsidRDefault="007A6F9E" w:rsidP="00131146">
            <w:pPr>
              <w:jc w:val="left"/>
              <w:rPr>
                <w:rFonts w:ascii="宋体" w:hAnsi="宋体" w:cs="宋体"/>
                <w:color w:val="000000"/>
                <w:kern w:val="0"/>
                <w:sz w:val="24"/>
              </w:rPr>
            </w:pPr>
            <w:r>
              <w:rPr>
                <w:rFonts w:ascii="宋体" w:hAnsi="宋体" w:cs="宋体" w:hint="eastAsia"/>
                <w:color w:val="000000"/>
                <w:kern w:val="0"/>
                <w:sz w:val="20"/>
              </w:rPr>
              <w:t> </w:t>
            </w:r>
          </w:p>
        </w:tc>
        <w:tc>
          <w:tcPr>
            <w:tcW w:w="2098" w:type="dxa"/>
            <w:gridSpan w:val="5"/>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7A6F9E" w:rsidRDefault="007A6F9E" w:rsidP="00131146">
            <w:pPr>
              <w:jc w:val="right"/>
              <w:textAlignment w:val="center"/>
              <w:rPr>
                <w:rFonts w:ascii="宋体" w:hAnsi="宋体" w:cs="宋体"/>
                <w:color w:val="000000"/>
                <w:kern w:val="0"/>
                <w:sz w:val="24"/>
              </w:rPr>
            </w:pPr>
            <w:r>
              <w:rPr>
                <w:rFonts w:ascii="宋体" w:hAnsi="宋体" w:cs="宋体" w:hint="eastAsia"/>
                <w:color w:val="000000"/>
                <w:kern w:val="0"/>
                <w:sz w:val="20"/>
              </w:rPr>
              <w:t>单位：万元</w:t>
            </w:r>
          </w:p>
        </w:tc>
      </w:tr>
      <w:tr w:rsidR="007A6F9E" w:rsidTr="00171EA1">
        <w:trPr>
          <w:trHeight w:val="415"/>
        </w:trPr>
        <w:tc>
          <w:tcPr>
            <w:tcW w:w="71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项目</w:t>
            </w:r>
          </w:p>
        </w:tc>
        <w:tc>
          <w:tcPr>
            <w:tcW w:w="54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行次</w:t>
            </w:r>
          </w:p>
        </w:tc>
        <w:tc>
          <w:tcPr>
            <w:tcW w:w="70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资产总额</w:t>
            </w:r>
          </w:p>
        </w:tc>
        <w:tc>
          <w:tcPr>
            <w:tcW w:w="68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流动资产</w:t>
            </w:r>
          </w:p>
        </w:tc>
        <w:tc>
          <w:tcPr>
            <w:tcW w:w="4070"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固定资产</w:t>
            </w:r>
          </w:p>
        </w:tc>
        <w:tc>
          <w:tcPr>
            <w:tcW w:w="97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对外投资/有价证券</w:t>
            </w:r>
          </w:p>
        </w:tc>
        <w:tc>
          <w:tcPr>
            <w:tcW w:w="9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在建工程</w:t>
            </w:r>
          </w:p>
        </w:tc>
        <w:tc>
          <w:tcPr>
            <w:tcW w:w="978"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无形资产</w:t>
            </w:r>
          </w:p>
        </w:tc>
        <w:tc>
          <w:tcPr>
            <w:tcW w:w="1120" w:type="dxa"/>
            <w:gridSpan w:val="3"/>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其他资产</w:t>
            </w:r>
          </w:p>
        </w:tc>
      </w:tr>
      <w:tr w:rsidR="007A6F9E" w:rsidTr="00171EA1">
        <w:trPr>
          <w:trHeight w:val="345"/>
        </w:trPr>
        <w:tc>
          <w:tcPr>
            <w:tcW w:w="715" w:type="dxa"/>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546" w:type="dxa"/>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700" w:type="dxa"/>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684" w:type="dxa"/>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63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小计</w:t>
            </w:r>
          </w:p>
        </w:tc>
        <w:tc>
          <w:tcPr>
            <w:tcW w:w="56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房屋构筑物</w:t>
            </w:r>
          </w:p>
        </w:tc>
        <w:tc>
          <w:tcPr>
            <w:tcW w:w="7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车辆</w:t>
            </w:r>
          </w:p>
        </w:tc>
        <w:tc>
          <w:tcPr>
            <w:tcW w:w="1263"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单价200万以上大型设备</w:t>
            </w:r>
          </w:p>
        </w:tc>
        <w:tc>
          <w:tcPr>
            <w:tcW w:w="83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其他固定资产</w:t>
            </w:r>
          </w:p>
        </w:tc>
        <w:tc>
          <w:tcPr>
            <w:tcW w:w="978" w:type="dxa"/>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978" w:type="dxa"/>
            <w:gridSpan w:val="2"/>
            <w:vMerge/>
            <w:tcBorders>
              <w:top w:val="nil"/>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1120" w:type="dxa"/>
            <w:gridSpan w:val="3"/>
            <w:vMerge/>
            <w:tcBorders>
              <w:top w:val="nil"/>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r>
      <w:tr w:rsidR="007A6F9E" w:rsidTr="00171EA1">
        <w:trPr>
          <w:trHeight w:val="395"/>
        </w:trPr>
        <w:tc>
          <w:tcPr>
            <w:tcW w:w="715" w:type="dxa"/>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546" w:type="dxa"/>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700" w:type="dxa"/>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684" w:type="dxa"/>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631" w:type="dxa"/>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568" w:type="dxa"/>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1263" w:type="dxa"/>
            <w:gridSpan w:val="3"/>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839" w:type="dxa"/>
            <w:gridSpan w:val="2"/>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978" w:type="dxa"/>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978" w:type="dxa"/>
            <w:gridSpan w:val="2"/>
            <w:vMerge/>
            <w:tcBorders>
              <w:top w:val="nil"/>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c>
          <w:tcPr>
            <w:tcW w:w="1120" w:type="dxa"/>
            <w:gridSpan w:val="3"/>
            <w:vMerge/>
            <w:tcBorders>
              <w:top w:val="nil"/>
              <w:left w:val="single" w:sz="4" w:space="0" w:color="000000"/>
              <w:bottom w:val="single" w:sz="4" w:space="0" w:color="000000"/>
              <w:right w:val="single" w:sz="4" w:space="0" w:color="000000"/>
            </w:tcBorders>
            <w:vAlign w:val="center"/>
          </w:tcPr>
          <w:p w:rsidR="007A6F9E" w:rsidRDefault="007A6F9E" w:rsidP="00131146">
            <w:pPr>
              <w:jc w:val="left"/>
              <w:rPr>
                <w:rFonts w:ascii="宋体" w:hAnsi="宋体" w:cs="宋体"/>
                <w:color w:val="000000"/>
                <w:kern w:val="0"/>
                <w:sz w:val="24"/>
              </w:rPr>
            </w:pPr>
          </w:p>
        </w:tc>
      </w:tr>
      <w:tr w:rsidR="007A6F9E" w:rsidTr="00171EA1">
        <w:trPr>
          <w:trHeight w:val="358"/>
        </w:trPr>
        <w:tc>
          <w:tcPr>
            <w:tcW w:w="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栏次</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left"/>
              <w:rPr>
                <w:rFonts w:ascii="宋体" w:hAnsi="宋体" w:cs="宋体"/>
                <w:color w:val="000000"/>
                <w:kern w:val="0"/>
                <w:sz w:val="24"/>
              </w:rPr>
            </w:pPr>
            <w:r>
              <w:rPr>
                <w:rFonts w:ascii="宋体" w:hAnsi="宋体" w:cs="宋体" w:hint="eastAsia"/>
                <w:color w:val="000000"/>
                <w:kern w:val="0"/>
                <w:sz w:val="20"/>
              </w:rPr>
              <w:t> </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1</w:t>
            </w:r>
          </w:p>
        </w:tc>
        <w:tc>
          <w:tcPr>
            <w:tcW w:w="6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2</w:t>
            </w: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3</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4</w:t>
            </w:r>
          </w:p>
        </w:tc>
        <w:tc>
          <w:tcPr>
            <w:tcW w:w="7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5</w:t>
            </w:r>
          </w:p>
        </w:tc>
        <w:tc>
          <w:tcPr>
            <w:tcW w:w="126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6</w:t>
            </w:r>
          </w:p>
        </w:tc>
        <w:tc>
          <w:tcPr>
            <w:tcW w:w="8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7</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8</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9</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10</w:t>
            </w:r>
          </w:p>
        </w:tc>
        <w:tc>
          <w:tcPr>
            <w:tcW w:w="11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11</w:t>
            </w:r>
          </w:p>
        </w:tc>
      </w:tr>
      <w:tr w:rsidR="007A6F9E" w:rsidTr="00171EA1">
        <w:trPr>
          <w:trHeight w:val="563"/>
        </w:trPr>
        <w:tc>
          <w:tcPr>
            <w:tcW w:w="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合计</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31146">
            <w:pPr>
              <w:jc w:val="center"/>
              <w:textAlignment w:val="center"/>
              <w:rPr>
                <w:rFonts w:ascii="宋体" w:hAnsi="宋体" w:cs="宋体"/>
                <w:color w:val="000000"/>
                <w:kern w:val="0"/>
                <w:sz w:val="24"/>
              </w:rPr>
            </w:pPr>
            <w:r>
              <w:rPr>
                <w:rFonts w:ascii="宋体" w:hAnsi="宋体" w:cs="宋体" w:hint="eastAsia"/>
                <w:color w:val="000000"/>
                <w:kern w:val="0"/>
                <w:sz w:val="20"/>
              </w:rPr>
              <w:t>1</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71EA1">
            <w:pPr>
              <w:jc w:val="center"/>
              <w:rPr>
                <w:rFonts w:ascii="宋体" w:hAnsi="宋体" w:cs="宋体"/>
                <w:color w:val="000000"/>
                <w:kern w:val="0"/>
                <w:sz w:val="24"/>
              </w:rPr>
            </w:pPr>
            <w:r>
              <w:rPr>
                <w:rFonts w:ascii="宋体" w:hAnsi="宋体" w:cs="宋体" w:hint="eastAsia"/>
                <w:color w:val="000000"/>
                <w:kern w:val="0"/>
                <w:sz w:val="20"/>
              </w:rPr>
              <w:t>817.7</w:t>
            </w:r>
          </w:p>
        </w:tc>
        <w:tc>
          <w:tcPr>
            <w:tcW w:w="6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71EA1">
            <w:pPr>
              <w:jc w:val="center"/>
              <w:rPr>
                <w:rFonts w:ascii="宋体" w:hAnsi="宋体" w:cs="宋体"/>
                <w:color w:val="000000"/>
                <w:kern w:val="0"/>
                <w:sz w:val="24"/>
              </w:rPr>
            </w:pPr>
            <w:r>
              <w:rPr>
                <w:rFonts w:ascii="宋体" w:hAnsi="宋体" w:cs="宋体" w:hint="eastAsia"/>
                <w:color w:val="000000"/>
                <w:kern w:val="0"/>
                <w:sz w:val="20"/>
              </w:rPr>
              <w:t>674.51</w:t>
            </w:r>
          </w:p>
        </w:tc>
        <w:tc>
          <w:tcPr>
            <w:tcW w:w="6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171EA1" w:rsidP="00171EA1">
            <w:pPr>
              <w:jc w:val="center"/>
              <w:rPr>
                <w:rFonts w:ascii="宋体" w:hAnsi="宋体" w:cs="宋体"/>
                <w:color w:val="000000"/>
                <w:kern w:val="0"/>
                <w:sz w:val="24"/>
              </w:rPr>
            </w:pPr>
            <w:r>
              <w:rPr>
                <w:rFonts w:ascii="宋体" w:hAnsi="宋体" w:cs="宋体" w:hint="eastAsia"/>
                <w:color w:val="000000"/>
                <w:kern w:val="0"/>
                <w:sz w:val="20"/>
              </w:rPr>
              <w:t>120.04</w:t>
            </w:r>
          </w:p>
        </w:tc>
        <w:tc>
          <w:tcPr>
            <w:tcW w:w="5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71EA1">
            <w:pPr>
              <w:jc w:val="center"/>
              <w:rPr>
                <w:rFonts w:ascii="宋体" w:hAnsi="宋体" w:cs="宋体"/>
                <w:color w:val="000000"/>
                <w:kern w:val="0"/>
                <w:sz w:val="24"/>
              </w:rPr>
            </w:pPr>
            <w:r>
              <w:rPr>
                <w:rFonts w:ascii="宋体" w:hAnsi="宋体" w:cs="宋体"/>
                <w:color w:val="000000"/>
                <w:kern w:val="0"/>
                <w:sz w:val="20"/>
              </w:rPr>
              <w:t>44.9</w:t>
            </w:r>
          </w:p>
        </w:tc>
        <w:tc>
          <w:tcPr>
            <w:tcW w:w="7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171EA1" w:rsidP="00171EA1">
            <w:pPr>
              <w:jc w:val="center"/>
              <w:rPr>
                <w:rFonts w:ascii="宋体" w:hAnsi="宋体" w:cs="宋体"/>
                <w:color w:val="000000"/>
                <w:kern w:val="0"/>
                <w:sz w:val="24"/>
              </w:rPr>
            </w:pPr>
            <w:r>
              <w:rPr>
                <w:rFonts w:ascii="宋体" w:hAnsi="宋体" w:cs="宋体" w:hint="eastAsia"/>
                <w:color w:val="000000"/>
                <w:kern w:val="0"/>
                <w:sz w:val="20"/>
              </w:rPr>
              <w:t>29.96</w:t>
            </w:r>
          </w:p>
        </w:tc>
        <w:tc>
          <w:tcPr>
            <w:tcW w:w="126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71EA1">
            <w:pPr>
              <w:jc w:val="center"/>
              <w:rPr>
                <w:rFonts w:ascii="宋体" w:hAnsi="宋体" w:cs="宋体"/>
                <w:color w:val="000000"/>
                <w:kern w:val="0"/>
                <w:sz w:val="24"/>
              </w:rPr>
            </w:pPr>
            <w:r>
              <w:rPr>
                <w:rFonts w:ascii="宋体" w:hAnsi="宋体" w:cs="宋体"/>
                <w:color w:val="000000"/>
                <w:kern w:val="0"/>
                <w:sz w:val="24"/>
              </w:rPr>
              <w:t>0</w:t>
            </w:r>
          </w:p>
        </w:tc>
        <w:tc>
          <w:tcPr>
            <w:tcW w:w="8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171EA1" w:rsidP="00171EA1">
            <w:pPr>
              <w:jc w:val="center"/>
              <w:rPr>
                <w:rFonts w:ascii="宋体" w:hAnsi="宋体" w:cs="宋体"/>
                <w:color w:val="000000"/>
                <w:kern w:val="0"/>
                <w:sz w:val="24"/>
              </w:rPr>
            </w:pPr>
            <w:r>
              <w:rPr>
                <w:rFonts w:ascii="宋体" w:hAnsi="宋体" w:cs="宋体" w:hint="eastAsia"/>
                <w:color w:val="000000"/>
                <w:kern w:val="0"/>
                <w:sz w:val="20"/>
              </w:rPr>
              <w:t>45.18</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71EA1">
            <w:pPr>
              <w:jc w:val="center"/>
              <w:rPr>
                <w:rFonts w:ascii="宋体" w:hAnsi="宋体" w:cs="宋体"/>
                <w:color w:val="000000"/>
                <w:kern w:val="0"/>
                <w:sz w:val="24"/>
              </w:rPr>
            </w:pPr>
            <w:r>
              <w:rPr>
                <w:rFonts w:ascii="宋体" w:hAnsi="宋体" w:cs="宋体"/>
                <w:color w:val="000000"/>
                <w:kern w:val="0"/>
                <w:sz w:val="20"/>
              </w:rPr>
              <w:t>0</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71EA1">
            <w:pPr>
              <w:jc w:val="center"/>
              <w:rPr>
                <w:rFonts w:ascii="宋体" w:hAnsi="宋体" w:cs="宋体"/>
                <w:color w:val="000000"/>
                <w:kern w:val="0"/>
                <w:sz w:val="24"/>
              </w:rPr>
            </w:pPr>
            <w:r>
              <w:rPr>
                <w:rFonts w:ascii="宋体" w:hAnsi="宋体" w:cs="宋体"/>
                <w:color w:val="000000"/>
                <w:kern w:val="0"/>
                <w:sz w:val="20"/>
              </w:rPr>
              <w:t>0</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71EA1">
            <w:pPr>
              <w:jc w:val="center"/>
              <w:rPr>
                <w:rFonts w:ascii="宋体" w:hAnsi="宋体" w:cs="宋体"/>
                <w:color w:val="000000"/>
                <w:kern w:val="0"/>
                <w:sz w:val="24"/>
              </w:rPr>
            </w:pPr>
            <w:r>
              <w:rPr>
                <w:rFonts w:ascii="宋体" w:hAnsi="宋体" w:cs="宋体"/>
                <w:color w:val="000000"/>
                <w:kern w:val="0"/>
                <w:sz w:val="20"/>
              </w:rPr>
              <w:t>0</w:t>
            </w:r>
          </w:p>
        </w:tc>
        <w:tc>
          <w:tcPr>
            <w:tcW w:w="112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A6F9E" w:rsidRDefault="007A6F9E" w:rsidP="00171EA1">
            <w:pPr>
              <w:jc w:val="center"/>
              <w:rPr>
                <w:rFonts w:ascii="宋体" w:hAnsi="宋体" w:cs="宋体"/>
                <w:color w:val="000000"/>
                <w:kern w:val="0"/>
                <w:sz w:val="24"/>
              </w:rPr>
            </w:pPr>
            <w:r>
              <w:rPr>
                <w:rFonts w:ascii="宋体" w:hAnsi="宋体" w:cs="宋体"/>
                <w:color w:val="000000"/>
                <w:kern w:val="0"/>
                <w:sz w:val="20"/>
              </w:rPr>
              <w:t>0</w:t>
            </w:r>
          </w:p>
        </w:tc>
      </w:tr>
      <w:tr w:rsidR="007A6F9E" w:rsidTr="00171EA1">
        <w:trPr>
          <w:gridAfter w:val="1"/>
          <w:wAfter w:w="618" w:type="dxa"/>
          <w:trHeight w:val="259"/>
        </w:trPr>
        <w:tc>
          <w:tcPr>
            <w:tcW w:w="8672" w:type="dxa"/>
            <w:gridSpan w:val="14"/>
            <w:tcBorders>
              <w:top w:val="nil"/>
              <w:left w:val="nil"/>
              <w:bottom w:val="nil"/>
              <w:right w:val="nil"/>
            </w:tcBorders>
            <w:tcMar>
              <w:top w:w="15" w:type="dxa"/>
              <w:left w:w="15" w:type="dxa"/>
              <w:bottom w:w="15" w:type="dxa"/>
              <w:right w:w="15" w:type="dxa"/>
            </w:tcMar>
            <w:vAlign w:val="bottom"/>
          </w:tcPr>
          <w:p w:rsidR="007A6F9E" w:rsidRDefault="007A6F9E" w:rsidP="00131146">
            <w:pPr>
              <w:rPr>
                <w:rFonts w:ascii="宋体" w:hAnsi="宋体" w:cs="宋体"/>
                <w:color w:val="000000"/>
                <w:kern w:val="0"/>
                <w:sz w:val="24"/>
              </w:rPr>
            </w:pPr>
          </w:p>
        </w:tc>
        <w:tc>
          <w:tcPr>
            <w:tcW w:w="360" w:type="dxa"/>
            <w:tcBorders>
              <w:top w:val="nil"/>
              <w:left w:val="nil"/>
              <w:bottom w:val="nil"/>
              <w:right w:val="nil"/>
            </w:tcBorders>
            <w:tcMar>
              <w:top w:w="15" w:type="dxa"/>
              <w:left w:w="15" w:type="dxa"/>
              <w:bottom w:w="15" w:type="dxa"/>
              <w:right w:w="15" w:type="dxa"/>
            </w:tcMar>
            <w:vAlign w:val="bottom"/>
          </w:tcPr>
          <w:p w:rsidR="007A6F9E" w:rsidRDefault="007A6F9E" w:rsidP="00131146">
            <w:pPr>
              <w:rPr>
                <w:rFonts w:ascii="宋体" w:hAnsi="宋体" w:cs="宋体"/>
                <w:color w:val="000000"/>
                <w:kern w:val="0"/>
                <w:sz w:val="20"/>
              </w:rPr>
            </w:pPr>
          </w:p>
        </w:tc>
        <w:tc>
          <w:tcPr>
            <w:tcW w:w="978" w:type="dxa"/>
            <w:gridSpan w:val="2"/>
            <w:tcBorders>
              <w:top w:val="nil"/>
              <w:left w:val="nil"/>
              <w:bottom w:val="nil"/>
              <w:right w:val="nil"/>
            </w:tcBorders>
            <w:tcMar>
              <w:top w:w="15" w:type="dxa"/>
              <w:left w:w="15" w:type="dxa"/>
              <w:bottom w:w="15" w:type="dxa"/>
              <w:right w:w="15" w:type="dxa"/>
            </w:tcMar>
            <w:vAlign w:val="bottom"/>
          </w:tcPr>
          <w:p w:rsidR="007A6F9E" w:rsidRDefault="007A6F9E" w:rsidP="00131146">
            <w:pPr>
              <w:jc w:val="left"/>
              <w:rPr>
                <w:rFonts w:ascii="宋体" w:hAnsi="宋体" w:cs="宋体"/>
                <w:color w:val="000000"/>
                <w:kern w:val="0"/>
                <w:sz w:val="24"/>
              </w:rPr>
            </w:pPr>
          </w:p>
        </w:tc>
        <w:tc>
          <w:tcPr>
            <w:tcW w:w="142" w:type="dxa"/>
            <w:tcBorders>
              <w:top w:val="nil"/>
              <w:left w:val="nil"/>
              <w:bottom w:val="nil"/>
              <w:right w:val="nil"/>
            </w:tcBorders>
            <w:vAlign w:val="center"/>
          </w:tcPr>
          <w:p w:rsidR="007A6F9E" w:rsidRDefault="007A6F9E" w:rsidP="00131146">
            <w:pPr>
              <w:jc w:val="left"/>
              <w:rPr>
                <w:rFonts w:ascii="宋体" w:hAnsi="宋体" w:cs="宋体"/>
                <w:color w:val="000000"/>
                <w:kern w:val="0"/>
                <w:sz w:val="17"/>
                <w:szCs w:val="17"/>
              </w:rPr>
            </w:pPr>
          </w:p>
        </w:tc>
      </w:tr>
      <w:tr w:rsidR="007A6F9E" w:rsidTr="00171EA1">
        <w:trPr>
          <w:trHeight w:val="495"/>
        </w:trPr>
        <w:tc>
          <w:tcPr>
            <w:tcW w:w="9650" w:type="dxa"/>
            <w:gridSpan w:val="16"/>
            <w:tcBorders>
              <w:top w:val="nil"/>
              <w:left w:val="nil"/>
              <w:bottom w:val="nil"/>
              <w:right w:val="nil"/>
            </w:tcBorders>
            <w:tcMar>
              <w:top w:w="15" w:type="dxa"/>
              <w:left w:w="15" w:type="dxa"/>
              <w:bottom w:w="15" w:type="dxa"/>
              <w:right w:w="15" w:type="dxa"/>
            </w:tcMar>
            <w:vAlign w:val="bottom"/>
          </w:tcPr>
          <w:p w:rsidR="007A6F9E" w:rsidRDefault="007A6F9E" w:rsidP="00131146">
            <w:pPr>
              <w:rPr>
                <w:rFonts w:ascii="宋体" w:hAnsi="宋体" w:cs="宋体"/>
                <w:color w:val="000000"/>
                <w:kern w:val="0"/>
                <w:sz w:val="20"/>
              </w:rPr>
            </w:pPr>
            <w:r>
              <w:rPr>
                <w:rFonts w:ascii="宋体" w:hAnsi="宋体" w:cs="宋体" w:hint="eastAsia"/>
                <w:color w:val="000000"/>
                <w:kern w:val="0"/>
                <w:sz w:val="20"/>
              </w:rPr>
              <w:t>填报说明：1.资产总额＝流动资产＋固定资产＋对外投资／有价证券＋在建工程＋无形资产＋其他资产</w:t>
            </w:r>
          </w:p>
          <w:p w:rsidR="007A6F9E" w:rsidRDefault="007A6F9E" w:rsidP="00131146">
            <w:pPr>
              <w:ind w:firstLineChars="515" w:firstLine="1030"/>
              <w:jc w:val="left"/>
              <w:rPr>
                <w:rFonts w:ascii="宋体" w:hAnsi="宋体" w:cs="宋体"/>
                <w:color w:val="000000"/>
                <w:kern w:val="0"/>
                <w:sz w:val="24"/>
              </w:rPr>
            </w:pPr>
            <w:r>
              <w:rPr>
                <w:rFonts w:ascii="宋体" w:hAnsi="宋体" w:cs="宋体" w:hint="eastAsia"/>
                <w:color w:val="000000"/>
                <w:kern w:val="0"/>
                <w:sz w:val="20"/>
              </w:rPr>
              <w:t>2.固定资产＝房屋构筑物＋车辆＋单价200万元以上大型设备＋其他固定资产</w:t>
            </w:r>
          </w:p>
        </w:tc>
        <w:tc>
          <w:tcPr>
            <w:tcW w:w="1120" w:type="dxa"/>
            <w:gridSpan w:val="3"/>
            <w:tcBorders>
              <w:top w:val="nil"/>
              <w:left w:val="nil"/>
              <w:bottom w:val="nil"/>
              <w:right w:val="nil"/>
            </w:tcBorders>
            <w:tcMar>
              <w:top w:w="15" w:type="dxa"/>
              <w:left w:w="15" w:type="dxa"/>
              <w:bottom w:w="15" w:type="dxa"/>
              <w:right w:w="15" w:type="dxa"/>
            </w:tcMar>
            <w:vAlign w:val="bottom"/>
          </w:tcPr>
          <w:p w:rsidR="007A6F9E" w:rsidRDefault="007A6F9E" w:rsidP="00131146">
            <w:pPr>
              <w:jc w:val="left"/>
              <w:rPr>
                <w:rFonts w:ascii="宋体" w:hAnsi="宋体" w:cs="宋体"/>
                <w:color w:val="000000"/>
                <w:kern w:val="0"/>
                <w:sz w:val="24"/>
              </w:rPr>
            </w:pPr>
            <w:r>
              <w:rPr>
                <w:rFonts w:ascii="Arial" w:hAnsi="Arial" w:cs="Arial"/>
                <w:color w:val="000000"/>
                <w:kern w:val="0"/>
                <w:sz w:val="20"/>
              </w:rPr>
              <w:t> </w:t>
            </w:r>
          </w:p>
        </w:tc>
      </w:tr>
    </w:tbl>
    <w:p w:rsidR="007A6F9E" w:rsidRDefault="007A6F9E" w:rsidP="007A6F9E">
      <w:pPr>
        <w:spacing w:line="600" w:lineRule="exact"/>
        <w:ind w:firstLine="600"/>
        <w:jc w:val="left"/>
        <w:rPr>
          <w:rFonts w:ascii="仿宋_GB2312" w:eastAsia="仿宋_GB2312" w:hAnsi="仿宋_GB2312"/>
          <w:color w:val="000000" w:themeColor="text1"/>
          <w:sz w:val="30"/>
        </w:rPr>
      </w:pPr>
    </w:p>
    <w:p w:rsidR="00B0252E" w:rsidRPr="007A6F9E" w:rsidRDefault="009723F2" w:rsidP="007A6F9E">
      <w:pPr>
        <w:spacing w:line="600" w:lineRule="exact"/>
        <w:ind w:firstLine="600"/>
        <w:jc w:val="left"/>
        <w:rPr>
          <w:rFonts w:ascii="仿宋_GB2312" w:eastAsia="仿宋_GB2312" w:hAnsi="仿宋_GB2312"/>
          <w:color w:val="000000" w:themeColor="text1"/>
          <w:sz w:val="30"/>
        </w:rPr>
      </w:pPr>
      <w:r>
        <w:rPr>
          <w:rFonts w:ascii="黑体" w:eastAsia="黑体" w:hAnsi="黑体" w:hint="eastAsia"/>
          <w:sz w:val="30"/>
        </w:rPr>
        <w:t>三、政府采购支出情况</w:t>
      </w:r>
    </w:p>
    <w:p w:rsidR="00171EA1" w:rsidRDefault="009723F2">
      <w:pPr>
        <w:spacing w:line="600" w:lineRule="exact"/>
        <w:ind w:firstLine="600"/>
        <w:jc w:val="left"/>
        <w:rPr>
          <w:rFonts w:ascii="仿宋" w:eastAsia="仿宋" w:hAnsi="仿宋"/>
          <w:color w:val="000000" w:themeColor="text1"/>
          <w:sz w:val="30"/>
        </w:rPr>
      </w:pPr>
      <w:r>
        <w:rPr>
          <w:rFonts w:ascii="仿宋" w:eastAsia="仿宋" w:hAnsi="仿宋" w:hint="eastAsia"/>
          <w:color w:val="000000" w:themeColor="text1"/>
          <w:sz w:val="30"/>
        </w:rPr>
        <w:t>2019年度，部门政府采购支出总额</w:t>
      </w:r>
      <w:r w:rsidR="00171EA1">
        <w:rPr>
          <w:rFonts w:ascii="仿宋" w:eastAsia="仿宋" w:hAnsi="仿宋" w:hint="eastAsia"/>
          <w:color w:val="000000" w:themeColor="text1"/>
          <w:sz w:val="30"/>
        </w:rPr>
        <w:t>1191.5</w:t>
      </w:r>
      <w:r>
        <w:rPr>
          <w:rFonts w:ascii="仿宋" w:eastAsia="仿宋" w:hAnsi="仿宋" w:hint="eastAsia"/>
          <w:color w:val="000000" w:themeColor="text1"/>
          <w:sz w:val="30"/>
        </w:rPr>
        <w:t>万元</w:t>
      </w:r>
      <w:r>
        <w:rPr>
          <w:rFonts w:ascii="Times New Roman" w:eastAsia="Times New Roman" w:hAnsi="Times New Roman"/>
          <w:color w:val="000000" w:themeColor="text1"/>
          <w:sz w:val="30"/>
        </w:rPr>
        <w:t>,</w:t>
      </w:r>
      <w:r>
        <w:rPr>
          <w:rFonts w:ascii="仿宋" w:eastAsia="仿宋" w:hAnsi="仿宋" w:hint="eastAsia"/>
          <w:color w:val="000000" w:themeColor="text1"/>
          <w:sz w:val="30"/>
        </w:rPr>
        <w:t>其中：政府采购货物支出</w:t>
      </w:r>
      <w:r w:rsidR="00171EA1">
        <w:rPr>
          <w:rFonts w:ascii="仿宋" w:eastAsia="仿宋" w:hAnsi="仿宋" w:hint="eastAsia"/>
          <w:color w:val="000000" w:themeColor="text1"/>
          <w:sz w:val="30"/>
        </w:rPr>
        <w:t>1.97</w:t>
      </w:r>
      <w:r>
        <w:rPr>
          <w:rFonts w:ascii="仿宋" w:eastAsia="仿宋" w:hAnsi="仿宋" w:hint="eastAsia"/>
          <w:color w:val="000000" w:themeColor="text1"/>
          <w:sz w:val="30"/>
        </w:rPr>
        <w:t>万元;政府采购工程支出</w:t>
      </w:r>
      <w:r w:rsidR="00171EA1">
        <w:rPr>
          <w:rFonts w:ascii="仿宋" w:eastAsia="仿宋" w:hAnsi="仿宋" w:hint="eastAsia"/>
          <w:color w:val="000000" w:themeColor="text1"/>
          <w:sz w:val="30"/>
        </w:rPr>
        <w:t>1189.53</w:t>
      </w:r>
      <w:r>
        <w:rPr>
          <w:rFonts w:ascii="仿宋" w:eastAsia="仿宋" w:hAnsi="仿宋" w:hint="eastAsia"/>
          <w:color w:val="000000" w:themeColor="text1"/>
          <w:sz w:val="30"/>
        </w:rPr>
        <w:t>万元;政府采购服务支出0万元;授予中小企业合同金额</w:t>
      </w:r>
      <w:r w:rsidR="00171EA1">
        <w:rPr>
          <w:rFonts w:ascii="仿宋" w:eastAsia="仿宋" w:hAnsi="仿宋" w:hint="eastAsia"/>
          <w:color w:val="000000" w:themeColor="text1"/>
          <w:sz w:val="30"/>
        </w:rPr>
        <w:t>0</w:t>
      </w:r>
      <w:r>
        <w:rPr>
          <w:rFonts w:ascii="仿宋" w:eastAsia="仿宋" w:hAnsi="仿宋" w:hint="eastAsia"/>
          <w:color w:val="000000" w:themeColor="text1"/>
          <w:sz w:val="30"/>
        </w:rPr>
        <w:t>万元</w:t>
      </w:r>
      <w:r w:rsidR="00171EA1">
        <w:rPr>
          <w:rFonts w:ascii="仿宋" w:eastAsia="仿宋" w:hAnsi="仿宋" w:hint="eastAsia"/>
          <w:color w:val="000000" w:themeColor="text1"/>
          <w:sz w:val="30"/>
        </w:rPr>
        <w:t>。</w:t>
      </w:r>
    </w:p>
    <w:p w:rsidR="00B0252E" w:rsidRDefault="009723F2">
      <w:pPr>
        <w:spacing w:line="600" w:lineRule="exact"/>
        <w:ind w:firstLine="600"/>
        <w:jc w:val="left"/>
        <w:rPr>
          <w:rFonts w:ascii="Times New Roman" w:eastAsia="Times New Roman" w:hAnsi="Times New Roman"/>
          <w:sz w:val="30"/>
        </w:rPr>
      </w:pPr>
      <w:r>
        <w:rPr>
          <w:rFonts w:ascii="黑体" w:eastAsia="黑体" w:hAnsi="黑体" w:hint="eastAsia"/>
          <w:color w:val="000000"/>
          <w:sz w:val="30"/>
        </w:rPr>
        <w:t>四、部门绩效自评情况</w:t>
      </w:r>
    </w:p>
    <w:p w:rsidR="00B0252E" w:rsidRDefault="009723F2">
      <w:pPr>
        <w:spacing w:line="600" w:lineRule="exact"/>
        <w:ind w:firstLine="600"/>
        <w:jc w:val="left"/>
        <w:rPr>
          <w:rFonts w:ascii="Times New Roman" w:eastAsia="Times New Roman" w:hAnsi="Times New Roman"/>
          <w:color w:val="0000FF"/>
          <w:sz w:val="30"/>
        </w:rPr>
      </w:pPr>
      <w:r>
        <w:rPr>
          <w:rFonts w:ascii="仿宋" w:eastAsia="仿宋" w:hAnsi="仿宋" w:hint="eastAsia"/>
          <w:color w:val="000000"/>
          <w:sz w:val="30"/>
        </w:rPr>
        <w:t>我部门绩效完成情况良好，部门绩效自评情况表详见附表（附表9-附表11）</w:t>
      </w:r>
    </w:p>
    <w:p w:rsidR="00B0252E" w:rsidRDefault="009723F2">
      <w:pPr>
        <w:spacing w:line="600" w:lineRule="exact"/>
        <w:ind w:firstLine="600"/>
        <w:jc w:val="left"/>
        <w:rPr>
          <w:rFonts w:ascii="Times New Roman" w:eastAsia="Times New Roman" w:hAnsi="Times New Roman"/>
          <w:sz w:val="30"/>
        </w:rPr>
      </w:pPr>
      <w:r>
        <w:rPr>
          <w:rFonts w:ascii="黑体" w:eastAsia="黑体" w:hAnsi="黑体" w:hint="eastAsia"/>
          <w:sz w:val="30"/>
        </w:rPr>
        <w:t>五、其他重要事项情况说明</w:t>
      </w:r>
    </w:p>
    <w:p w:rsidR="00B0252E" w:rsidRDefault="009723F2">
      <w:pPr>
        <w:spacing w:line="600" w:lineRule="exact"/>
        <w:ind w:firstLine="600"/>
        <w:jc w:val="left"/>
        <w:rPr>
          <w:rFonts w:ascii="Times New Roman" w:eastAsia="Times New Roman" w:hAnsi="Times New Roman"/>
          <w:color w:val="000000" w:themeColor="text1"/>
          <w:sz w:val="30"/>
        </w:rPr>
      </w:pPr>
      <w:r>
        <w:rPr>
          <w:rFonts w:ascii="仿宋" w:eastAsia="仿宋" w:hAnsi="仿宋" w:hint="eastAsia"/>
          <w:color w:val="000000" w:themeColor="text1"/>
          <w:sz w:val="30"/>
        </w:rPr>
        <w:t>我单位无其他重要事项情况说明。</w:t>
      </w:r>
    </w:p>
    <w:p w:rsidR="00B0252E" w:rsidRDefault="009723F2">
      <w:pPr>
        <w:spacing w:line="600" w:lineRule="exact"/>
        <w:ind w:firstLine="600"/>
        <w:jc w:val="left"/>
        <w:rPr>
          <w:rFonts w:ascii="Times New Roman" w:eastAsia="Times New Roman" w:hAnsi="Times New Roman"/>
          <w:sz w:val="30"/>
        </w:rPr>
      </w:pPr>
      <w:r>
        <w:rPr>
          <w:rFonts w:ascii="黑体" w:eastAsia="黑体" w:hAnsi="黑体" w:hint="eastAsia"/>
          <w:sz w:val="30"/>
        </w:rPr>
        <w:t>六、相关口径说明</w:t>
      </w:r>
    </w:p>
    <w:p w:rsidR="00B0252E" w:rsidRDefault="009723F2">
      <w:pPr>
        <w:spacing w:line="600" w:lineRule="exact"/>
        <w:ind w:firstLine="600"/>
        <w:jc w:val="left"/>
        <w:rPr>
          <w:rFonts w:ascii="Times New Roman" w:eastAsia="Times New Roman" w:hAnsi="Times New Roman"/>
          <w:sz w:val="30"/>
        </w:rPr>
      </w:pPr>
      <w:r>
        <w:rPr>
          <w:rFonts w:ascii="仿宋" w:eastAsia="仿宋" w:hAnsi="仿宋" w:hint="eastAsia"/>
          <w:sz w:val="30"/>
        </w:rPr>
        <w:lastRenderedPageBreak/>
        <w:t>（一）基本支出中人员经费包括工资福利支出和对个人和家庭的补助，日常公用支出包括商品和服务支出、资本性支出等人员经费以外的支出。</w:t>
      </w:r>
    </w:p>
    <w:p w:rsidR="00B0252E" w:rsidRDefault="009723F2">
      <w:pPr>
        <w:spacing w:line="600" w:lineRule="exact"/>
        <w:ind w:firstLine="600"/>
        <w:jc w:val="left"/>
        <w:rPr>
          <w:rFonts w:ascii="Times New Roman" w:eastAsia="Times New Roman" w:hAnsi="Times New Roman"/>
          <w:sz w:val="30"/>
        </w:rPr>
      </w:pPr>
      <w:r>
        <w:rPr>
          <w:rFonts w:ascii="仿宋" w:eastAsia="仿宋" w:hAnsi="仿宋" w:hint="eastAsia"/>
          <w:sz w:val="30"/>
        </w:rPr>
        <w:t>（二）机关运行经费指行政单位和参照公务员法管理的事业单位使用一般公共预算财政拨款安排的基本支出中的日常公用经费支出。</w:t>
      </w:r>
    </w:p>
    <w:p w:rsidR="00B0252E" w:rsidRDefault="009723F2">
      <w:pPr>
        <w:spacing w:line="600" w:lineRule="exact"/>
        <w:ind w:firstLine="600"/>
        <w:jc w:val="left"/>
        <w:rPr>
          <w:rFonts w:ascii="Times New Roman" w:eastAsia="Times New Roman" w:hAnsi="Times New Roman"/>
          <w:sz w:val="30"/>
        </w:rPr>
      </w:pPr>
      <w:r>
        <w:rPr>
          <w:rFonts w:ascii="仿宋" w:eastAsia="仿宋" w:hAnsi="仿宋" w:hint="eastAsia"/>
          <w:sz w:val="30"/>
        </w:rPr>
        <w:t>（三）按照党中央、国务院有关文件及部门预算管理有关规定，</w:t>
      </w:r>
      <w:r>
        <w:rPr>
          <w:rFonts w:ascii="仿宋" w:eastAsia="仿宋" w:hAnsi="仿宋"/>
          <w:sz w:val="30"/>
        </w:rPr>
        <w:t>“</w:t>
      </w:r>
      <w:r>
        <w:rPr>
          <w:rFonts w:ascii="仿宋" w:eastAsia="仿宋" w:hAnsi="仿宋" w:hint="eastAsia"/>
          <w:sz w:val="30"/>
        </w:rPr>
        <w:t>三公</w:t>
      </w:r>
      <w:r>
        <w:rPr>
          <w:rFonts w:ascii="仿宋" w:eastAsia="仿宋" w:hAnsi="仿宋"/>
          <w:sz w:val="30"/>
        </w:rPr>
        <w:t>”</w:t>
      </w:r>
      <w:r>
        <w:rPr>
          <w:rFonts w:ascii="仿宋" w:eastAsia="仿宋" w:hAnsi="仿宋" w:hint="eastAsia"/>
          <w:sz w:val="30"/>
        </w:rPr>
        <w:t>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rsidR="00B0252E" w:rsidRDefault="009723F2">
      <w:pPr>
        <w:spacing w:line="600" w:lineRule="exact"/>
        <w:ind w:firstLine="600"/>
        <w:jc w:val="left"/>
        <w:rPr>
          <w:rFonts w:ascii="Times New Roman" w:eastAsia="Times New Roman" w:hAnsi="Times New Roman"/>
          <w:sz w:val="30"/>
        </w:rPr>
      </w:pPr>
      <w:r>
        <w:rPr>
          <w:rFonts w:ascii="仿宋" w:eastAsia="仿宋" w:hAnsi="仿宋" w:hint="eastAsia"/>
          <w:sz w:val="30"/>
        </w:rPr>
        <w:t>（四）</w:t>
      </w:r>
      <w:r>
        <w:rPr>
          <w:rFonts w:ascii="仿宋" w:eastAsia="仿宋" w:hAnsi="仿宋"/>
          <w:sz w:val="30"/>
        </w:rPr>
        <w:t>“</w:t>
      </w:r>
      <w:r>
        <w:rPr>
          <w:rFonts w:ascii="仿宋" w:eastAsia="仿宋" w:hAnsi="仿宋" w:hint="eastAsia"/>
          <w:sz w:val="30"/>
        </w:rPr>
        <w:t>三公</w:t>
      </w:r>
      <w:r>
        <w:rPr>
          <w:rFonts w:ascii="仿宋" w:eastAsia="仿宋" w:hAnsi="仿宋"/>
          <w:sz w:val="30"/>
        </w:rPr>
        <w:t>”</w:t>
      </w:r>
      <w:r>
        <w:rPr>
          <w:rFonts w:ascii="仿宋" w:eastAsia="仿宋" w:hAnsi="仿宋" w:hint="eastAsia"/>
          <w:sz w:val="30"/>
        </w:rPr>
        <w:t>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rsidR="00B0252E" w:rsidRDefault="009723F2">
      <w:pPr>
        <w:spacing w:line="600" w:lineRule="exact"/>
        <w:ind w:firstLine="640"/>
        <w:jc w:val="center"/>
        <w:rPr>
          <w:rFonts w:ascii="Times New Roman" w:eastAsia="Times New Roman" w:hAnsi="Times New Roman"/>
          <w:sz w:val="32"/>
        </w:rPr>
      </w:pPr>
      <w:r>
        <w:rPr>
          <w:rFonts w:ascii="黑体" w:eastAsia="黑体" w:hAnsi="黑体" w:hint="eastAsia"/>
          <w:sz w:val="32"/>
        </w:rPr>
        <w:t>第五部分  名词解释</w:t>
      </w:r>
    </w:p>
    <w:p w:rsidR="00B0252E" w:rsidRDefault="009723F2">
      <w:pPr>
        <w:widowControl w:val="0"/>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政府采购：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B0252E" w:rsidRDefault="009723F2">
      <w:pPr>
        <w:widowControl w:val="0"/>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财政拨款收入: 指本级财政当年拨付的资金。</w:t>
      </w:r>
    </w:p>
    <w:p w:rsidR="00B0252E" w:rsidRDefault="009723F2">
      <w:pPr>
        <w:widowControl w:val="0"/>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基本支出: 指为保障机构正常运转、完成日常工作任务而发生的人员支出和公用支出。</w:t>
      </w:r>
    </w:p>
    <w:p w:rsidR="00B0252E" w:rsidRDefault="009723F2">
      <w:pPr>
        <w:widowControl w:val="0"/>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项目支出: 指在基本支出之外为完成特定行政任务和事业发展目标所发生的支出。</w:t>
      </w:r>
    </w:p>
    <w:p w:rsidR="00B0252E" w:rsidRDefault="009723F2">
      <w:pPr>
        <w:widowControl w:val="0"/>
        <w:ind w:firstLineChars="200" w:firstLine="600"/>
      </w:pPr>
      <w:r>
        <w:rPr>
          <w:rFonts w:ascii="仿宋_GB2312" w:eastAsia="仿宋_GB2312" w:hAnsi="仿宋_GB2312" w:cs="仿宋_GB2312" w:hint="eastAsia"/>
          <w:sz w:val="30"/>
          <w:szCs w:val="30"/>
        </w:rPr>
        <w:t>"三公"经费: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rsidR="00B0252E" w:rsidSect="00B0252E">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A12" w:rsidRDefault="00021A12" w:rsidP="00B76ABC">
      <w:r>
        <w:separator/>
      </w:r>
    </w:p>
  </w:endnote>
  <w:endnote w:type="continuationSeparator" w:id="0">
    <w:p w:rsidR="00021A12" w:rsidRDefault="00021A12" w:rsidP="00B76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小标宋_GBK">
    <w:altName w:val="微软雅黑"/>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A12" w:rsidRDefault="00021A12" w:rsidP="00B76ABC">
      <w:r>
        <w:separator/>
      </w:r>
    </w:p>
  </w:footnote>
  <w:footnote w:type="continuationSeparator" w:id="0">
    <w:p w:rsidR="00021A12" w:rsidRDefault="00021A12" w:rsidP="00B76A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1A12"/>
    <w:rsid w:val="00052A3D"/>
    <w:rsid w:val="000C592E"/>
    <w:rsid w:val="00171EA1"/>
    <w:rsid w:val="00172A27"/>
    <w:rsid w:val="00180578"/>
    <w:rsid w:val="0029278A"/>
    <w:rsid w:val="002C0D65"/>
    <w:rsid w:val="00390A37"/>
    <w:rsid w:val="005E2C27"/>
    <w:rsid w:val="00601498"/>
    <w:rsid w:val="006559BD"/>
    <w:rsid w:val="006A298D"/>
    <w:rsid w:val="007658AC"/>
    <w:rsid w:val="007A6F9E"/>
    <w:rsid w:val="007D14E4"/>
    <w:rsid w:val="0080087B"/>
    <w:rsid w:val="008A34D8"/>
    <w:rsid w:val="009723F2"/>
    <w:rsid w:val="00B0252E"/>
    <w:rsid w:val="00B7316C"/>
    <w:rsid w:val="00B76ABC"/>
    <w:rsid w:val="00B80C35"/>
    <w:rsid w:val="00CA2CDB"/>
    <w:rsid w:val="00CF2361"/>
    <w:rsid w:val="00D62C31"/>
    <w:rsid w:val="00DC5C38"/>
    <w:rsid w:val="00DE1527"/>
    <w:rsid w:val="00E22CDB"/>
    <w:rsid w:val="00E5253B"/>
    <w:rsid w:val="00FB44EF"/>
    <w:rsid w:val="04AD146E"/>
    <w:rsid w:val="0DA36CAF"/>
    <w:rsid w:val="0E89029F"/>
    <w:rsid w:val="14FD03D2"/>
    <w:rsid w:val="15436EF5"/>
    <w:rsid w:val="22B93FB0"/>
    <w:rsid w:val="46882D20"/>
    <w:rsid w:val="4BD57488"/>
    <w:rsid w:val="52CE5F36"/>
    <w:rsid w:val="58DB47F8"/>
    <w:rsid w:val="5C641FB1"/>
    <w:rsid w:val="5C851200"/>
    <w:rsid w:val="608E43F0"/>
    <w:rsid w:val="6523561A"/>
    <w:rsid w:val="65981080"/>
    <w:rsid w:val="65BB5FF3"/>
    <w:rsid w:val="6C705F63"/>
    <w:rsid w:val="6F357D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252E"/>
    <w:pPr>
      <w:jc w:val="both"/>
    </w:pPr>
    <w:rPr>
      <w:rFonts w:asciiTheme="minorHAnsi" w:hAnsiTheme="minorHAnsi" w:cstheme="minorBidi"/>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76A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76ABC"/>
    <w:rPr>
      <w:rFonts w:asciiTheme="minorHAnsi" w:hAnsiTheme="minorHAnsi" w:cstheme="minorBidi"/>
      <w:kern w:val="2"/>
      <w:sz w:val="18"/>
      <w:szCs w:val="18"/>
    </w:rPr>
  </w:style>
  <w:style w:type="paragraph" w:styleId="a4">
    <w:name w:val="footer"/>
    <w:basedOn w:val="a"/>
    <w:link w:val="Char0"/>
    <w:rsid w:val="00B76ABC"/>
    <w:pPr>
      <w:tabs>
        <w:tab w:val="center" w:pos="4153"/>
        <w:tab w:val="right" w:pos="8306"/>
      </w:tabs>
      <w:snapToGrid w:val="0"/>
      <w:jc w:val="left"/>
    </w:pPr>
    <w:rPr>
      <w:sz w:val="18"/>
      <w:szCs w:val="18"/>
    </w:rPr>
  </w:style>
  <w:style w:type="character" w:customStyle="1" w:styleId="Char0">
    <w:name w:val="页脚 Char"/>
    <w:basedOn w:val="a0"/>
    <w:link w:val="a4"/>
    <w:rsid w:val="00B76ABC"/>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12121212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1313131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141414141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151515151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本年收入（万元）</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Lbls>
            <c:dLbl>
              <c:idx val="0"/>
              <c:tx>
                <c:rich>
                  <a:bodyPr/>
                  <a:lstStyle/>
                  <a:p>
                    <a:r>
                      <a:t>财政拨款收入：</a:t>
                    </a:r>
                    <a:r>
                      <a:rPr lang="en-US"/>
                      <a:t>1995.89</a:t>
                    </a:r>
                    <a:r>
                      <a:t>万元</a:t>
                    </a:r>
                  </a:p>
                </c:rich>
              </c:tx>
              <c:dLblPos val="bestFit"/>
              <c:showVal val="1"/>
              <c:extLst>
                <c:ext xmlns:c15="http://schemas.microsoft.com/office/drawing/2012/chart" uri="{CE6537A1-D6FC-4f65-9D91-7224C49458BB}"/>
              </c:extLst>
            </c:dLbl>
            <c:dLbl>
              <c:idx val="1"/>
              <c:tx>
                <c:rich>
                  <a:bodyPr/>
                  <a:lstStyle/>
                  <a:p>
                    <a:r>
                      <a:t>其他收入：</a:t>
                    </a:r>
                    <a:r>
                      <a:rPr lang="en-US"/>
                      <a:t>79.5</a:t>
                    </a:r>
                    <a:r>
                      <a:t>万元</a:t>
                    </a:r>
                  </a:p>
                </c:rich>
              </c:tx>
              <c:dLblPos val="bestFit"/>
              <c:showVal val="1"/>
              <c:extLst>
                <c:ext xmlns:c15="http://schemas.microsoft.com/office/drawing/2012/chart" uri="{CE6537A1-D6FC-4f65-9D91-7224C49458BB}"/>
              </c:extLst>
            </c:dLbl>
            <c:delete val="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其他收入</c:v>
                </c:pt>
              </c:strCache>
            </c:strRef>
          </c:cat>
          <c:val>
            <c:numRef>
              <c:f>Sheet1!$B$2:$B$3</c:f>
              <c:numCache>
                <c:formatCode>General</c:formatCode>
                <c:ptCount val="2"/>
                <c:pt idx="0">
                  <c:v>3512.69</c:v>
                </c:pt>
                <c:pt idx="1">
                  <c:v>213.93</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noFill/>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manualLayout>
          <c:layoutTarget val="inner"/>
          <c:xMode val="edge"/>
          <c:yMode val="edge"/>
          <c:x val="0.27121227621483462"/>
          <c:y val="0.19251392499071687"/>
          <c:w val="0.44427621483376001"/>
          <c:h val="0.64505012996658062"/>
        </c:manualLayout>
      </c:layout>
      <c:pieChart>
        <c:varyColors val="1"/>
        <c:ser>
          <c:idx val="0"/>
          <c:order val="0"/>
          <c:tx>
            <c:strRef>
              <c:f>Sheet1!$B$1</c:f>
              <c:strCache>
                <c:ptCount val="1"/>
                <c:pt idx="0">
                  <c:v>2019支出情况（万元）</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dLbl>
              <c:idx val="0"/>
              <c:tx>
                <c:rich>
                  <a:bodyPr/>
                  <a:lstStyle/>
                  <a:p>
                    <a:r>
                      <a:t>基本支出：1</a:t>
                    </a:r>
                    <a:r>
                      <a:rPr lang="en-US"/>
                      <a:t>138.86</a:t>
                    </a:r>
                    <a:r>
                      <a:rPr altLang="zh-CN"/>
                      <a:t>万元</a:t>
                    </a:r>
                  </a:p>
                </c:rich>
              </c:tx>
              <c:dLblPos val="bestFit"/>
              <c:showVal val="1"/>
              <c:extLst>
                <c:ext xmlns:c15="http://schemas.microsoft.com/office/drawing/2012/chart" uri="{CE6537A1-D6FC-4f65-9D91-7224C49458BB}"/>
              </c:extLst>
            </c:dLbl>
            <c:dLbl>
              <c:idx val="1"/>
              <c:tx>
                <c:rich>
                  <a:bodyPr/>
                  <a:lstStyle/>
                  <a:p>
                    <a:r>
                      <a:t>项目支出：</a:t>
                    </a:r>
                    <a:r>
                      <a:rPr lang="en-US"/>
                      <a:t>794.45</a:t>
                    </a:r>
                    <a:r>
                      <a:t>万元</a:t>
                    </a:r>
                  </a:p>
                </c:rich>
              </c:tx>
              <c:dLblPos val="bestFit"/>
              <c:showVal val="1"/>
              <c:extLst>
                <c:ext xmlns:c15="http://schemas.microsoft.com/office/drawing/2012/chart" uri="{CE6537A1-D6FC-4f65-9D91-7224C49458BB}"/>
              </c:extLst>
            </c:dLbl>
            <c:dLbl>
              <c:idx val="2"/>
              <c:delete val="1"/>
            </c:dLbl>
            <c:dLbl>
              <c:idx val="3"/>
              <c:delete val="1"/>
            </c:dLbl>
            <c:delete val="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1676.58</c:v>
                </c:pt>
                <c:pt idx="1">
                  <c:v>1846.98</c:v>
                </c:pt>
              </c:numCache>
            </c:numRef>
          </c:val>
        </c:ser>
        <c:firstSliceAng val="0"/>
      </c:pieChart>
      <c:spPr>
        <a:noFill/>
        <a:ln>
          <a:noFill/>
        </a:ln>
        <a:effectLst/>
      </c:spPr>
    </c:plotArea>
    <c:legend>
      <c:legendPos val="b"/>
      <c:legendEntry>
        <c:idx val="2"/>
        <c:delete val="1"/>
      </c:legendEntry>
      <c:legendEntry>
        <c:idx val="3"/>
        <c:delete val="1"/>
      </c:legendEntry>
      <c:layout>
        <c:manualLayout>
          <c:xMode val="edge"/>
          <c:yMode val="edge"/>
          <c:x val="0.24243750000000031"/>
          <c:y val="0.9395"/>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no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34887500000000032"/>
          <c:y val="2.0000000000000011E-2"/>
        </c:manualLayout>
      </c:layout>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基本支出分布情况</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dLbl>
              <c:idx val="0"/>
              <c:tx>
                <c:rich>
                  <a:bodyPr/>
                  <a:lstStyle/>
                  <a:p>
                    <a:r>
                      <a:t>工资福利支出</a:t>
                    </a:r>
                    <a:r>
                      <a:rPr lang="en-US"/>
                      <a:t>767.13</a:t>
                    </a:r>
                    <a:r>
                      <a:t>万元</a:t>
                    </a:r>
                    <a:endParaRPr lang="en-US" altLang="zh-CN"/>
                  </a:p>
                </c:rich>
              </c:tx>
              <c:dLblPos val="bestFit"/>
              <c:showVal val="1"/>
              <c:extLst>
                <c:ext xmlns:c15="http://schemas.microsoft.com/office/drawing/2012/chart" uri="{CE6537A1-D6FC-4f65-9D91-7224C49458BB}"/>
              </c:extLst>
            </c:dLbl>
            <c:dLbl>
              <c:idx val="1"/>
              <c:tx>
                <c:rich>
                  <a:bodyPr/>
                  <a:lstStyle/>
                  <a:p>
                    <a:r>
                      <a:t>商品和服务支出</a:t>
                    </a:r>
                    <a:r>
                      <a:rPr lang="en-US"/>
                      <a:t>166.57</a:t>
                    </a:r>
                    <a:r>
                      <a:t>万元</a:t>
                    </a:r>
                  </a:p>
                </c:rich>
              </c:tx>
              <c:dLblPos val="bestFit"/>
              <c:showVal val="1"/>
              <c:extLst>
                <c:ext xmlns:c15="http://schemas.microsoft.com/office/drawing/2012/chart" uri="{CE6537A1-D6FC-4f65-9D91-7224C49458BB}"/>
              </c:extLst>
            </c:dLbl>
            <c:dLbl>
              <c:idx val="2"/>
              <c:tx>
                <c:rich>
                  <a:bodyPr/>
                  <a:lstStyle/>
                  <a:p>
                    <a:r>
                      <a:t>对个人和家庭的补助</a:t>
                    </a:r>
                    <a:r>
                      <a:rPr lang="en-US"/>
                      <a:t>202.95</a:t>
                    </a:r>
                    <a:r>
                      <a:t>万元</a:t>
                    </a:r>
                  </a:p>
                </c:rich>
              </c:tx>
              <c:dLblPos val="bestFit"/>
              <c:showVal val="1"/>
              <c:extLst>
                <c:ext xmlns:c15="http://schemas.microsoft.com/office/drawing/2012/chart" uri="{CE6537A1-D6FC-4f65-9D91-7224C49458BB}"/>
              </c:extLst>
            </c:dLbl>
            <c:dLbl>
              <c:idx val="3"/>
              <c:tx>
                <c:rich>
                  <a:bodyPr/>
                  <a:lstStyle/>
                  <a:p>
                    <a:r>
                      <a:t>其他资本性支出</a:t>
                    </a:r>
                    <a:r>
                      <a:rPr lang="en-US"/>
                      <a:t>2.2</a:t>
                    </a:r>
                    <a:r>
                      <a:t>万元</a:t>
                    </a:r>
                  </a:p>
                </c:rich>
              </c:tx>
              <c:dLblPos val="bestFit"/>
              <c:showVal val="1"/>
              <c:extLst>
                <c:ext xmlns:c15="http://schemas.microsoft.com/office/drawing/2012/chart" uri="{CE6537A1-D6FC-4f65-9D91-7224C49458BB}"/>
              </c:extLst>
            </c:dLbl>
            <c:delete val="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工资福利支出</c:v>
                </c:pt>
                <c:pt idx="1">
                  <c:v>商品和服务支出</c:v>
                </c:pt>
                <c:pt idx="2">
                  <c:v>对个人和家庭的补助</c:v>
                </c:pt>
                <c:pt idx="3">
                  <c:v>资本性支出</c:v>
                </c:pt>
              </c:strCache>
            </c:strRef>
          </c:cat>
          <c:val>
            <c:numRef>
              <c:f>Sheet1!$B$2:$B$5</c:f>
              <c:numCache>
                <c:formatCode>General</c:formatCode>
                <c:ptCount val="4"/>
                <c:pt idx="0">
                  <c:v>995.94999999999948</c:v>
                </c:pt>
                <c:pt idx="1">
                  <c:v>214.87</c:v>
                </c:pt>
                <c:pt idx="2">
                  <c:v>453.8</c:v>
                </c:pt>
                <c:pt idx="3">
                  <c:v>11.96</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noFill/>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项目支出分布情况</a:t>
            </a:r>
          </a:p>
        </c:rich>
      </c:tx>
      <c:spPr>
        <a:noFill/>
        <a:ln>
          <a:noFill/>
        </a:ln>
        <a:effectLst/>
      </c:spPr>
    </c:title>
    <c:plotArea>
      <c:layout/>
      <c:pieChart>
        <c:varyColors val="1"/>
        <c:ser>
          <c:idx val="0"/>
          <c:order val="0"/>
          <c:tx>
            <c:strRef>
              <c:f>Sheet1!$B$1</c:f>
              <c:strCache>
                <c:ptCount val="1"/>
                <c:pt idx="0">
                  <c:v>项目支出分布情况
</c:v>
                </c:pt>
              </c:strCache>
            </c:strRef>
          </c:tx>
          <c:dPt>
            <c:idx val="0"/>
            <c:spPr>
              <a:solidFill>
                <a:schemeClr val="accent3"/>
              </a:solidFill>
              <a:ln w="19050">
                <a:solidFill>
                  <a:schemeClr val="lt1"/>
                </a:solidFill>
              </a:ln>
              <a:effectLst/>
            </c:spPr>
          </c:dPt>
          <c:dPt>
            <c:idx val="1"/>
            <c:spPr>
              <a:solidFill>
                <a:schemeClr val="accent1"/>
              </a:solidFill>
              <a:ln w="19050">
                <a:solidFill>
                  <a:schemeClr val="lt1"/>
                </a:solidFill>
              </a:ln>
              <a:effectLst/>
            </c:spPr>
          </c:dPt>
          <c:dPt>
            <c:idx val="2"/>
            <c:spPr>
              <a:solidFill>
                <a:schemeClr val="accent2"/>
              </a:solidFill>
              <a:ln w="19050">
                <a:solidFill>
                  <a:schemeClr val="lt1"/>
                </a:solidFill>
              </a:ln>
              <a:effectLst/>
            </c:spPr>
          </c:dPt>
          <c:dPt>
            <c:idx val="3"/>
            <c:spPr>
              <a:solidFill>
                <a:schemeClr val="accent4"/>
              </a:solidFill>
              <a:ln w="19050">
                <a:solidFill>
                  <a:schemeClr val="lt1"/>
                </a:solidFill>
              </a:ln>
              <a:effectLst/>
            </c:spPr>
          </c:dPt>
          <c:dLbls>
            <c:dLbl>
              <c:idx val="0"/>
              <c:layout>
                <c:manualLayout>
                  <c:x val="-0.19806962125789301"/>
                  <c:y val="3.382936824681524E-2"/>
                </c:manualLayout>
              </c:layout>
              <c:tx>
                <c:rich>
                  <a:bodyPr/>
                  <a:lstStyle/>
                  <a:p>
                    <a:r>
                      <a:t>工资和福利支出</a:t>
                    </a:r>
                    <a:r>
                      <a:rPr lang="en-US"/>
                      <a:t>0</a:t>
                    </a:r>
                    <a:r>
                      <a:t>万元</a:t>
                    </a:r>
                  </a:p>
                </c:rich>
              </c:tx>
              <c:dLblPos val="bestFit"/>
              <c:showVal val="1"/>
              <c:extLst>
                <c:ext xmlns:c15="http://schemas.microsoft.com/office/drawing/2012/chart" uri="{CE6537A1-D6FC-4f65-9D91-7224C49458BB}">
                  <c15:layout/>
                </c:ext>
              </c:extLst>
            </c:dLbl>
            <c:dLbl>
              <c:idx val="1"/>
              <c:layout>
                <c:manualLayout>
                  <c:x val="7.785386244188551E-2"/>
                  <c:y val="-1.3004268475500202E-4"/>
                </c:manualLayout>
              </c:layout>
              <c:tx>
                <c:rich>
                  <a:bodyPr/>
                  <a:lstStyle/>
                  <a:p>
                    <a:r>
                      <a:t>对个人和家庭的补助</a:t>
                    </a:r>
                    <a:r>
                      <a:rPr lang="en-US"/>
                      <a:t>228.35</a:t>
                    </a:r>
                    <a:r>
                      <a:t>万元</a:t>
                    </a:r>
                  </a:p>
                </c:rich>
              </c:tx>
              <c:dLblPos val="bestFit"/>
              <c:showVal val="1"/>
              <c:extLst>
                <c:ext xmlns:c15="http://schemas.microsoft.com/office/drawing/2012/chart" uri="{CE6537A1-D6FC-4f65-9D91-7224C49458BB}">
                  <c15:layout/>
                </c:ext>
              </c:extLst>
            </c:dLbl>
            <c:dLbl>
              <c:idx val="2"/>
              <c:layout>
                <c:manualLayout>
                  <c:x val="0.11880875125258702"/>
                  <c:y val="6.868194497594711E-2"/>
                </c:manualLayout>
              </c:layout>
              <c:tx>
                <c:rich>
                  <a:bodyPr/>
                  <a:lstStyle/>
                  <a:p>
                    <a:r>
                      <a:t>商品和服务支出</a:t>
                    </a:r>
                    <a:r>
                      <a:rPr lang="en-US"/>
                      <a:t>7.8</a:t>
                    </a:r>
                    <a:r>
                      <a:t>万元</a:t>
                    </a:r>
                  </a:p>
                </c:rich>
              </c:tx>
              <c:dLblPos val="bestFit"/>
              <c:showVal val="1"/>
              <c:extLst>
                <c:ext xmlns:c15="http://schemas.microsoft.com/office/drawing/2012/chart" uri="{CE6537A1-D6FC-4f65-9D91-7224C49458BB}">
                  <c15:layout/>
                </c:ext>
              </c:extLst>
            </c:dLbl>
            <c:dLbl>
              <c:idx val="3"/>
              <c:tx>
                <c:rich>
                  <a:bodyPr/>
                  <a:lstStyle/>
                  <a:p>
                    <a:r>
                      <a:t>资本性支出</a:t>
                    </a:r>
                    <a:r>
                      <a:rPr lang="en-US"/>
                      <a:t>558.3</a:t>
                    </a:r>
                    <a:r>
                      <a:t>万元</a:t>
                    </a:r>
                  </a:p>
                </c:rich>
              </c:tx>
              <c:dLblPos val="bestFit"/>
              <c:showVal val="1"/>
              <c:extLst>
                <c:ext xmlns:c15="http://schemas.microsoft.com/office/drawing/2012/chart" uri="{CE6537A1-D6FC-4f65-9D91-7224C49458BB}"/>
              </c:extLst>
            </c:dLbl>
            <c:delete val="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工资福利支出</c:v>
                </c:pt>
                <c:pt idx="1">
                  <c:v>对个人和家庭的补助</c:v>
                </c:pt>
                <c:pt idx="2">
                  <c:v>商品和服务支出</c:v>
                </c:pt>
                <c:pt idx="3">
                  <c:v>资本性支出</c:v>
                </c:pt>
              </c:strCache>
            </c:strRef>
          </c:cat>
          <c:val>
            <c:numRef>
              <c:f>Sheet1!$B$2:$B$5</c:f>
              <c:numCache>
                <c:formatCode>General</c:formatCode>
                <c:ptCount val="4"/>
                <c:pt idx="0">
                  <c:v>1.2</c:v>
                </c:pt>
                <c:pt idx="1">
                  <c:v>144.63999999999999</c:v>
                </c:pt>
                <c:pt idx="2">
                  <c:v>24.27</c:v>
                </c:pt>
                <c:pt idx="3">
                  <c:v>1676.86</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noFill/>
      <a:round/>
    </a:ln>
    <a:effectLst/>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本年支出情况（按功能分类）</a:t>
            </a:r>
          </a:p>
        </c:rich>
      </c:tx>
      <c:spPr>
        <a:noFill/>
        <a:ln>
          <a:noFill/>
        </a:ln>
        <a:effectLst/>
      </c:spPr>
    </c:title>
    <c:plotArea>
      <c:layout/>
      <c:pieChart>
        <c:varyColors val="1"/>
        <c:ser>
          <c:idx val="0"/>
          <c:order val="0"/>
          <c:tx>
            <c:strRef>
              <c:f>Sheet1!$B$1</c:f>
              <c:strCache>
                <c:ptCount val="1"/>
                <c:pt idx="0">
                  <c:v>销售额</c:v>
                </c:pt>
              </c:strCache>
            </c:strRef>
          </c:tx>
          <c:dPt>
            <c:idx val="0"/>
            <c:spPr>
              <a:solidFill>
                <a:schemeClr val="accent2"/>
              </a:solidFill>
              <a:ln w="19050">
                <a:solidFill>
                  <a:schemeClr val="lt1"/>
                </a:solidFill>
              </a:ln>
              <a:effectLst/>
            </c:spPr>
          </c:dPt>
          <c:dPt>
            <c:idx val="1"/>
            <c:spPr>
              <a:solidFill>
                <a:schemeClr val="accent5">
                  <a:lumMod val="20000"/>
                  <a:lumOff val="80000"/>
                </a:schemeClr>
              </a:solidFill>
              <a:ln w="19050">
                <a:solidFill>
                  <a:schemeClr val="lt1"/>
                </a:solidFill>
              </a:ln>
              <a:effectLst/>
            </c:spPr>
          </c:dPt>
          <c:dPt>
            <c:idx val="2"/>
            <c:spPr>
              <a:solidFill>
                <a:schemeClr val="accent4">
                  <a:lumMod val="60000"/>
                  <a:lumOff val="40000"/>
                </a:schemeClr>
              </a:solidFill>
              <a:ln w="19050">
                <a:solidFill>
                  <a:schemeClr val="lt1"/>
                </a:solidFill>
              </a:ln>
              <a:effectLst/>
            </c:spPr>
          </c:dPt>
          <c:dPt>
            <c:idx val="3"/>
            <c:spPr>
              <a:solidFill>
                <a:schemeClr val="accent4"/>
              </a:solidFill>
              <a:ln w="19050">
                <a:solidFill>
                  <a:schemeClr val="lt1"/>
                </a:solidFill>
              </a:ln>
              <a:effectLst/>
            </c:spPr>
          </c:dPt>
          <c:dPt>
            <c:idx val="4"/>
            <c:spPr>
              <a:solidFill>
                <a:schemeClr val="accent5"/>
              </a:solidFill>
              <a:ln w="19050">
                <a:solidFill>
                  <a:schemeClr val="lt1"/>
                </a:solidFill>
              </a:ln>
              <a:effectLst/>
            </c:spPr>
          </c:dPt>
          <c:dPt>
            <c:idx val="5"/>
            <c:spPr>
              <a:solidFill>
                <a:schemeClr val="accent6"/>
              </a:solidFill>
              <a:ln w="19050">
                <a:solidFill>
                  <a:schemeClr val="lt1"/>
                </a:solidFill>
              </a:ln>
              <a:effectLst/>
            </c:spPr>
          </c:dPt>
          <c:dPt>
            <c:idx val="6"/>
            <c:spPr>
              <a:solidFill>
                <a:schemeClr val="accent1">
                  <a:lumMod val="60000"/>
                </a:schemeClr>
              </a:solidFill>
              <a:ln w="19050">
                <a:solidFill>
                  <a:schemeClr val="lt1"/>
                </a:solidFill>
              </a:ln>
              <a:effectLst/>
            </c:spPr>
          </c:dPt>
          <c:dLbls>
            <c:dLbl>
              <c:idx val="0"/>
              <c:tx>
                <c:rich>
                  <a:bodyPr/>
                  <a:lstStyle/>
                  <a:p>
                    <a:r>
                      <a:rPr lang="en-US" altLang="en-US"/>
                      <a:t>497</a:t>
                    </a:r>
                    <a:r>
                      <a:rPr altLang="en-US"/>
                      <a:t>.</a:t>
                    </a:r>
                    <a:r>
                      <a:rPr lang="en-US" altLang="en-US"/>
                      <a:t>11</a:t>
                    </a:r>
                    <a:endParaRPr altLang="en-US"/>
                  </a:p>
                </c:rich>
              </c:tx>
              <c:dLblPos val="bestFit"/>
              <c:showVal val="1"/>
            </c:dLbl>
            <c:dLbl>
              <c:idx val="1"/>
              <c:layout>
                <c:manualLayout>
                  <c:x val="2.4324258970784988E-2"/>
                  <c:y val="3.8078210018879233E-3"/>
                </c:manualLayout>
              </c:layout>
              <c:tx>
                <c:rich>
                  <a:bodyPr/>
                  <a:lstStyle/>
                  <a:p>
                    <a:r>
                      <a:rPr lang="en-US" altLang="en-US"/>
                      <a:t>45.27</a:t>
                    </a:r>
                    <a:endParaRPr altLang="en-US"/>
                  </a:p>
                </c:rich>
              </c:tx>
              <c:dLblPos val="bestFit"/>
              <c:showVal val="1"/>
              <c:extLst>
                <c:ext xmlns:c15="http://schemas.microsoft.com/office/drawing/2012/chart" uri="{CE6537A1-D6FC-4f65-9D91-7224C49458BB}">
                  <c15:layout/>
                </c:ext>
              </c:extLst>
            </c:dLbl>
            <c:dLbl>
              <c:idx val="2"/>
              <c:tx>
                <c:rich>
                  <a:bodyPr/>
                  <a:lstStyle/>
                  <a:p>
                    <a:r>
                      <a:rPr lang="en-US" altLang="en-US"/>
                      <a:t>173.99</a:t>
                    </a:r>
                    <a:endParaRPr altLang="en-US"/>
                  </a:p>
                </c:rich>
              </c:tx>
              <c:dLblPos val="bestFit"/>
              <c:showVal val="1"/>
            </c:dLbl>
            <c:dLbl>
              <c:idx val="3"/>
              <c:tx>
                <c:rich>
                  <a:bodyPr/>
                  <a:lstStyle/>
                  <a:p>
                    <a:r>
                      <a:rPr lang="en-US" altLang="en-US"/>
                      <a:t>0</a:t>
                    </a:r>
                    <a:r>
                      <a:rPr altLang="en-US"/>
                      <a:t>.</a:t>
                    </a:r>
                    <a:r>
                      <a:rPr lang="en-US" altLang="en-US"/>
                      <a:t>44</a:t>
                    </a:r>
                    <a:endParaRPr altLang="en-US"/>
                  </a:p>
                </c:rich>
              </c:tx>
              <c:dLblPos val="bestFit"/>
              <c:showVal val="1"/>
            </c:dLbl>
            <c:dLbl>
              <c:idx val="4"/>
              <c:tx>
                <c:rich>
                  <a:bodyPr/>
                  <a:lstStyle/>
                  <a:p>
                    <a:r>
                      <a:rPr lang="en-US" altLang="en-US"/>
                      <a:t>1048.37</a:t>
                    </a:r>
                    <a:endParaRPr altLang="en-US"/>
                  </a:p>
                </c:rich>
              </c:tx>
              <c:dLblPos val="bestFit"/>
              <c:showVal val="1"/>
            </c:dLbl>
            <c:dLbl>
              <c:idx val="5"/>
              <c:layout>
                <c:manualLayout>
                  <c:x val="-8.552142894729893E-3"/>
                  <c:y val="-3.9445410013260887E-3"/>
                </c:manualLayout>
              </c:layout>
              <c:tx>
                <c:rich>
                  <a:bodyPr/>
                  <a:lstStyle/>
                  <a:p>
                    <a:r>
                      <a:rPr lang="en-US" altLang="en-US"/>
                      <a:t>42.3</a:t>
                    </a:r>
                    <a:r>
                      <a:rPr altLang="en-US"/>
                      <a:t>7</a:t>
                    </a:r>
                  </a:p>
                </c:rich>
              </c:tx>
              <c:dLblPos val="bestFit"/>
              <c:showVal val="1"/>
            </c:dLbl>
            <c:dLbl>
              <c:idx val="6"/>
              <c:layout>
                <c:manualLayout>
                  <c:x val="5.2951862562239001E-2"/>
                  <c:y val="-5.1924966837309803E-4"/>
                </c:manualLayout>
              </c:layout>
              <c:tx>
                <c:rich>
                  <a:bodyPr/>
                  <a:lstStyle/>
                  <a:p>
                    <a:r>
                      <a:rPr altLang="en-US"/>
                      <a:t>1</a:t>
                    </a:r>
                    <a:r>
                      <a:rPr lang="en-US" altLang="en-US"/>
                      <a:t>5.5</a:t>
                    </a:r>
                    <a:endParaRPr altLang="en-US"/>
                  </a:p>
                </c:rich>
              </c:tx>
              <c:dLblPos val="bestFit"/>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201一般公共服务</c:v>
                </c:pt>
                <c:pt idx="1">
                  <c:v>207文化旅游体育与传媒</c:v>
                </c:pt>
                <c:pt idx="2">
                  <c:v>208社会保障和就业</c:v>
                </c:pt>
                <c:pt idx="3">
                  <c:v>210卫生健康</c:v>
                </c:pt>
                <c:pt idx="4">
                  <c:v>213农林水</c:v>
                </c:pt>
                <c:pt idx="5">
                  <c:v>221住房保障</c:v>
                </c:pt>
                <c:pt idx="6">
                  <c:v>224灾害防治及应急管理</c:v>
                </c:pt>
              </c:strCache>
            </c:strRef>
          </c:cat>
          <c:val>
            <c:numRef>
              <c:f>Sheet1!$B$2:$B$8</c:f>
              <c:numCache>
                <c:formatCode>General</c:formatCode>
                <c:ptCount val="7"/>
                <c:pt idx="0">
                  <c:v>916.43</c:v>
                </c:pt>
                <c:pt idx="1">
                  <c:v>33.43</c:v>
                </c:pt>
                <c:pt idx="2">
                  <c:v>196.4</c:v>
                </c:pt>
                <c:pt idx="3">
                  <c:v>1.1300000000000001</c:v>
                </c:pt>
                <c:pt idx="4">
                  <c:v>2019.33</c:v>
                </c:pt>
                <c:pt idx="5">
                  <c:v>63.77</c:v>
                </c:pt>
                <c:pt idx="6">
                  <c:v>11.4</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no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Pages>
  <Words>932</Words>
  <Characters>5313</Characters>
  <Application>Microsoft Office Word</Application>
  <DocSecurity>0</DocSecurity>
  <Lines>44</Lines>
  <Paragraphs>12</Paragraphs>
  <ScaleCrop>false</ScaleCrop>
  <Company>德宏州梁河县党政机关单位</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2020-09-23T01:22:00Z</dcterms:created>
  <dcterms:modified xsi:type="dcterms:W3CDTF">2020-10-22T02:14:00Z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