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rPr>
          <w:rFonts w:hint="eastAsia" w:ascii="宋体" w:hAnsi="宋体" w:eastAsia="方正黑体_GBK" w:cs="方正黑体_GBK"/>
          <w:b w:val="0"/>
          <w:color w:val="000000"/>
          <w:sz w:val="32"/>
          <w:szCs w:val="32"/>
        </w:rPr>
      </w:pPr>
      <w:r>
        <w:rPr>
          <w:rFonts w:hint="eastAsia" w:ascii="宋体" w:hAnsi="宋体" w:eastAsia="方正黑体_GBK" w:cs="方正黑体_GBK"/>
          <w:b w:val="0"/>
          <w:color w:val="000000"/>
          <w:sz w:val="32"/>
          <w:szCs w:val="32"/>
        </w:rPr>
        <w:t xml:space="preserve">附件2 </w:t>
      </w:r>
    </w:p>
    <w:p>
      <w:pPr>
        <w:pStyle w:val="7"/>
        <w:widowControl/>
        <w:spacing w:line="640" w:lineRule="exact"/>
        <w:ind w:firstLine="0" w:firstLineChars="0"/>
        <w:jc w:val="center"/>
        <w:textAlignment w:val="baseline"/>
        <w:rPr>
          <w:rFonts w:hint="eastAsia" w:ascii="宋体" w:hAnsi="宋体" w:eastAsia="方正小标宋_GBK" w:cs="方正仿宋_GBK"/>
          <w:color w:val="000000"/>
          <w:kern w:val="0"/>
          <w:sz w:val="44"/>
          <w:szCs w:val="44"/>
        </w:rPr>
      </w:pPr>
      <w:bookmarkStart w:id="0" w:name="_GoBack"/>
      <w:r>
        <w:rPr>
          <w:rFonts w:hint="eastAsia" w:ascii="宋体" w:hAnsi="宋体" w:eastAsia="方正小标宋_GBK" w:cs="方正仿宋_GBK"/>
          <w:color w:val="000000"/>
          <w:kern w:val="0"/>
          <w:sz w:val="44"/>
          <w:szCs w:val="44"/>
        </w:rPr>
        <w:t>云南省工业项目“标准地”</w:t>
      </w:r>
    </w:p>
    <w:p>
      <w:pPr>
        <w:pStyle w:val="7"/>
        <w:widowControl/>
        <w:spacing w:line="640" w:lineRule="exact"/>
        <w:ind w:firstLine="0" w:firstLineChars="0"/>
        <w:jc w:val="center"/>
        <w:textAlignment w:val="baseline"/>
        <w:rPr>
          <w:rFonts w:hint="eastAsia" w:ascii="宋体" w:hAnsi="宋体" w:eastAsia="方正小标宋_GBK" w:cs="方正仿宋_GBK"/>
          <w:color w:val="000000"/>
          <w:kern w:val="0"/>
          <w:sz w:val="44"/>
          <w:szCs w:val="44"/>
        </w:rPr>
      </w:pPr>
      <w:r>
        <w:rPr>
          <w:rFonts w:hint="eastAsia" w:ascii="宋体" w:hAnsi="宋体" w:eastAsia="方正小标宋_GBK" w:cs="方正仿宋_GBK"/>
          <w:color w:val="000000"/>
          <w:kern w:val="0"/>
          <w:sz w:val="44"/>
          <w:szCs w:val="44"/>
        </w:rPr>
        <w:t>指导性控制指标（试行）</w:t>
      </w:r>
      <w:bookmarkEnd w:id="0"/>
    </w:p>
    <w:p>
      <w:pPr>
        <w:widowControl/>
        <w:spacing w:line="640" w:lineRule="exact"/>
        <w:ind w:firstLine="640" w:firstLineChars="200"/>
        <w:jc w:val="left"/>
        <w:textAlignment w:val="baseline"/>
        <w:rPr>
          <w:rFonts w:hint="eastAsia" w:ascii="宋体" w:hAnsi="宋体" w:eastAsia="方正仿宋_GBK" w:cs="方正仿宋_GBK"/>
          <w:color w:val="000000"/>
          <w:szCs w:val="32"/>
        </w:rPr>
      </w:pPr>
    </w:p>
    <w:p>
      <w:pPr>
        <w:widowControl/>
        <w:spacing w:line="560" w:lineRule="exact"/>
        <w:ind w:firstLine="640" w:firstLineChars="200"/>
        <w:jc w:val="left"/>
        <w:textAlignment w:val="baseline"/>
        <w:rPr>
          <w:rFonts w:hint="eastAsia" w:ascii="宋体" w:hAnsi="宋体" w:eastAsia="方正黑体_GBK" w:cs="方正黑体_GBK"/>
          <w:color w:val="000000"/>
          <w:szCs w:val="32"/>
        </w:rPr>
      </w:pPr>
      <w:r>
        <w:rPr>
          <w:rFonts w:hint="eastAsia" w:ascii="宋体" w:hAnsi="宋体" w:eastAsia="方正黑体_GBK" w:cs="方正黑体_GBK"/>
          <w:color w:val="000000"/>
          <w:szCs w:val="32"/>
        </w:rPr>
        <w:t>一、指标解释与计算</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楷体_GBK" w:cs="方正楷体_GBK"/>
          <w:b w:val="0"/>
          <w:color w:val="000000"/>
          <w:sz w:val="32"/>
          <w:szCs w:val="32"/>
        </w:rPr>
        <w:t>（一）容积率：</w:t>
      </w:r>
      <w:r>
        <w:rPr>
          <w:rFonts w:hint="eastAsia" w:ascii="宋体" w:hAnsi="宋体" w:eastAsia="方正仿宋_GBK" w:cs="方正仿宋_GBK"/>
          <w:b w:val="0"/>
          <w:color w:val="000000"/>
          <w:sz w:val="32"/>
          <w:szCs w:val="32"/>
        </w:rPr>
        <w:t>项目用地范围内总建筑面积与项目总用地面积的比值。反映项目对土地的空间利用情况，是衡量土地利用强度的重要尺度之一。</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容积率=项目总建筑面积/项目总用地面积</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备注：</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1.项目总建筑面积按城市规划有关建筑面积的计算规则计算；</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2.建筑物层高超过8米的，在计算容积率时该层建筑面积加倍计算。</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楷体_GBK" w:cs="方正楷体_GBK"/>
          <w:b w:val="0"/>
          <w:color w:val="000000"/>
          <w:sz w:val="32"/>
          <w:szCs w:val="32"/>
        </w:rPr>
        <w:t>（二）固定资产投资强度：</w:t>
      </w:r>
      <w:r>
        <w:rPr>
          <w:rFonts w:hint="eastAsia" w:ascii="宋体" w:hAnsi="宋体" w:eastAsia="方正仿宋_GBK" w:cs="方正仿宋_GBK"/>
          <w:b w:val="0"/>
          <w:color w:val="000000"/>
          <w:sz w:val="32"/>
          <w:szCs w:val="32"/>
        </w:rPr>
        <w:t>项目用地范围内单位面积固定资产投资额。反映单位土地上项目固定资产投资情况，是衡量工业用地投入水平的重要尺度。</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固定资产投资强度（单位：万元/亩）=固定资产总投资/项目总用地面积</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备注：</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1.固定资产投资额包括厂房、设备和地价款，厂房和设备的投资额按照项目建成进入正常生产时的厂房建造成本和设备购置成本计算，地价款按照土地合同约定成交金额计算。</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楷体_GBK" w:cs="方正楷体_GBK"/>
          <w:b w:val="0"/>
          <w:color w:val="000000"/>
          <w:sz w:val="32"/>
          <w:szCs w:val="32"/>
        </w:rPr>
        <w:t>（三）亩均税收：</w:t>
      </w:r>
      <w:r>
        <w:rPr>
          <w:rFonts w:hint="eastAsia" w:ascii="宋体" w:hAnsi="宋体" w:eastAsia="方正仿宋_GBK" w:cs="方正仿宋_GBK"/>
          <w:b w:val="0"/>
          <w:color w:val="000000"/>
          <w:sz w:val="32"/>
          <w:szCs w:val="32"/>
        </w:rPr>
        <w:t>项目用地范围内单位土地面积上实缴税金。反映单位土地上项目的税收情况，是衡量土地产出水平的一个重要指标。</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亩均税收（单位：万元/亩）=实缴税金/项目总用地面积</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备注：</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1.项目上缴税金总额为企业一个自然年度内实际上缴税费的全部税收合计，但不包括社会保险费、非税收入。</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2.项目总用地面积=企业登记面积+企业承租面积-企业出租面积。</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楷体_GBK" w:cs="方正楷体_GBK"/>
          <w:b w:val="0"/>
          <w:color w:val="000000"/>
          <w:sz w:val="32"/>
          <w:szCs w:val="32"/>
        </w:rPr>
        <w:t>（四）单位能耗工业增加值：</w:t>
      </w:r>
      <w:r>
        <w:rPr>
          <w:rFonts w:hint="eastAsia" w:ascii="宋体" w:hAnsi="宋体" w:eastAsia="方正仿宋_GBK" w:cs="方正仿宋_GBK"/>
          <w:b w:val="0"/>
          <w:color w:val="000000"/>
          <w:sz w:val="32"/>
          <w:szCs w:val="32"/>
        </w:rPr>
        <w:t>统计期内企业工业增加值与期内企业工业生产综合能源消费量的比值。反映经济发展对能源的依赖程度。</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单位能耗工业增加值（单位：万元/吨标煤）=工业增加值/ 综合能源消耗总量</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备注：</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1.综合能源消耗总量是指企业(单位)在报告期内工业生产实际消费的各种能源（扣除能源加工转换产出和能源回收利用等重要因素）的总和。</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2.工业增加值指工业企业在报告期内以货币形式表现的工业生产活动的最终成果，是企业全部生产活动的总成果扣除在生产过程中消耗或转移的物质产品和劳务价值后的余额，是企业生产过程中新增加的价值。</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楷体_GBK" w:cs="方正楷体_GBK"/>
          <w:b w:val="0"/>
          <w:color w:val="000000"/>
          <w:sz w:val="32"/>
          <w:szCs w:val="32"/>
        </w:rPr>
        <w:t>（五）单位排放工业增加值：</w:t>
      </w:r>
      <w:r>
        <w:rPr>
          <w:rFonts w:hint="eastAsia" w:ascii="宋体" w:hAnsi="宋体" w:eastAsia="方正仿宋_GBK" w:cs="方正仿宋_GBK"/>
          <w:b w:val="0"/>
          <w:color w:val="000000"/>
          <w:sz w:val="32"/>
          <w:szCs w:val="32"/>
        </w:rPr>
        <w:t>统计期内企业工业增加值与期内企业工业生产主要污染物排放量的比值。</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单位排放工业增加值（单位：万元/吨）= 工业增加值/污染物排放总量</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备注：</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1.排放总量是指化学需氧量（COD）、挥发性有机物（VOC）、氨氮（NH</w:t>
      </w:r>
      <w:r>
        <w:rPr>
          <w:rFonts w:hint="eastAsia" w:ascii="宋体" w:hAnsi="宋体" w:eastAsia="方正仿宋_GBK" w:cs="方正仿宋_GBK"/>
          <w:b w:val="0"/>
          <w:color w:val="000000"/>
          <w:sz w:val="32"/>
          <w:szCs w:val="32"/>
          <w:vertAlign w:val="subscript"/>
        </w:rPr>
        <w:t>3</w:t>
      </w:r>
      <w:r>
        <w:rPr>
          <w:rFonts w:hint="eastAsia" w:ascii="宋体" w:hAnsi="宋体" w:eastAsia="方正仿宋_GBK" w:cs="方正仿宋_GBK"/>
          <w:b w:val="0"/>
          <w:color w:val="000000"/>
          <w:sz w:val="32"/>
          <w:szCs w:val="32"/>
        </w:rPr>
        <w:t>-N）、氮氧化物（NOX）等指标的排放量。</w:t>
      </w:r>
    </w:p>
    <w:p>
      <w:pPr>
        <w:widowControl/>
        <w:spacing w:line="560" w:lineRule="exact"/>
        <w:ind w:firstLine="640" w:firstLineChars="200"/>
        <w:jc w:val="left"/>
        <w:textAlignment w:val="baseline"/>
        <w:rPr>
          <w:rFonts w:hint="eastAsia" w:ascii="宋体" w:hAnsi="宋体" w:eastAsia="方正黑体_GBK" w:cs="方正黑体_GBK"/>
          <w:color w:val="000000"/>
          <w:szCs w:val="32"/>
        </w:rPr>
      </w:pPr>
      <w:r>
        <w:rPr>
          <w:rFonts w:hint="eastAsia" w:ascii="宋体" w:hAnsi="宋体" w:eastAsia="方正黑体_GBK" w:cs="方正黑体_GBK"/>
          <w:color w:val="000000"/>
          <w:szCs w:val="32"/>
        </w:rPr>
        <w:t>二、指导性控制指标</w:t>
      </w:r>
    </w:p>
    <w:p>
      <w:pPr>
        <w:pStyle w:val="3"/>
        <w:spacing w:line="560" w:lineRule="exact"/>
        <w:ind w:firstLine="640" w:firstLineChars="200"/>
        <w:jc w:val="left"/>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rPr>
        <w:t>相关省级主管部门联合制订发布云南省工业项目“标准地”指导性控制指标。</w:t>
      </w:r>
    </w:p>
    <w:p>
      <w:pPr>
        <w:pStyle w:val="3"/>
        <w:spacing w:line="560" w:lineRule="exact"/>
        <w:ind w:firstLine="640" w:firstLineChars="200"/>
        <w:jc w:val="left"/>
        <w:rPr>
          <w:rFonts w:hint="eastAsia" w:ascii="宋体" w:hAnsi="宋体" w:eastAsia="方正小标宋_GBK" w:cs="方正小标宋_GBK"/>
          <w:b w:val="0"/>
          <w:color w:val="000000"/>
          <w:sz w:val="32"/>
          <w:szCs w:val="32"/>
        </w:rPr>
      </w:pPr>
      <w:r>
        <w:rPr>
          <w:rFonts w:hint="eastAsia" w:ascii="宋体" w:hAnsi="宋体" w:eastAsia="方正小标宋_GBK" w:cs="方正小标宋_GBK"/>
          <w:b w:val="0"/>
          <w:color w:val="000000"/>
          <w:sz w:val="32"/>
          <w:szCs w:val="32"/>
        </w:rPr>
        <w:t>表1 云南省工业项目“标准地”指导性控制指标</w:t>
      </w:r>
    </w:p>
    <w:tbl>
      <w:tblPr>
        <w:tblStyle w:val="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30"/>
        <w:gridCol w:w="992"/>
        <w:gridCol w:w="1350"/>
        <w:gridCol w:w="1144"/>
        <w:gridCol w:w="141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blHeader/>
          <w:jc w:val="center"/>
        </w:trPr>
        <w:tc>
          <w:tcPr>
            <w:tcW w:w="990" w:type="dxa"/>
            <w:noWrap w:val="0"/>
            <w:vAlign w:val="center"/>
          </w:tcPr>
          <w:p>
            <w:pPr>
              <w:widowControl/>
              <w:spacing w:line="280" w:lineRule="exact"/>
              <w:jc w:val="center"/>
              <w:rPr>
                <w:rFonts w:hint="eastAsia" w:ascii="宋体" w:hAnsi="宋体" w:eastAsia="方正仿宋_GBK" w:cs="宋体"/>
                <w:b/>
                <w:color w:val="000000"/>
                <w:kern w:val="0"/>
                <w:sz w:val="24"/>
                <w:szCs w:val="24"/>
              </w:rPr>
            </w:pPr>
            <w:r>
              <w:rPr>
                <w:rFonts w:hint="eastAsia" w:ascii="宋体" w:hAnsi="宋体" w:eastAsia="方正仿宋_GBK" w:cs="宋体"/>
                <w:b/>
                <w:color w:val="000000"/>
                <w:kern w:val="0"/>
                <w:sz w:val="24"/>
                <w:szCs w:val="24"/>
              </w:rPr>
              <w:t>制造业</w:t>
            </w:r>
          </w:p>
          <w:p>
            <w:pPr>
              <w:widowControl/>
              <w:spacing w:line="280" w:lineRule="exact"/>
              <w:jc w:val="center"/>
              <w:rPr>
                <w:rFonts w:ascii="宋体" w:hAnsi="宋体" w:eastAsia="方正仿宋_GBK" w:cs="宋体"/>
                <w:b/>
                <w:color w:val="000000"/>
                <w:kern w:val="0"/>
                <w:sz w:val="24"/>
                <w:szCs w:val="24"/>
              </w:rPr>
            </w:pPr>
            <w:r>
              <w:rPr>
                <w:rFonts w:hint="eastAsia" w:ascii="宋体" w:hAnsi="宋体" w:eastAsia="方正仿宋_GBK" w:cs="宋体"/>
                <w:b/>
                <w:color w:val="000000"/>
                <w:kern w:val="0"/>
                <w:sz w:val="24"/>
                <w:szCs w:val="24"/>
              </w:rPr>
              <w:t>行业代码</w:t>
            </w:r>
          </w:p>
        </w:tc>
        <w:tc>
          <w:tcPr>
            <w:tcW w:w="2230" w:type="dxa"/>
            <w:noWrap w:val="0"/>
            <w:vAlign w:val="center"/>
          </w:tcPr>
          <w:p>
            <w:pPr>
              <w:widowControl/>
              <w:spacing w:line="280" w:lineRule="exact"/>
              <w:jc w:val="center"/>
              <w:rPr>
                <w:rFonts w:ascii="宋体" w:hAnsi="宋体" w:eastAsia="方正仿宋_GBK" w:cs="宋体"/>
                <w:b/>
                <w:color w:val="000000"/>
                <w:kern w:val="0"/>
                <w:sz w:val="24"/>
                <w:szCs w:val="24"/>
              </w:rPr>
            </w:pPr>
            <w:r>
              <w:rPr>
                <w:rFonts w:hint="eastAsia" w:ascii="宋体" w:hAnsi="宋体" w:eastAsia="方正仿宋_GBK" w:cs="宋体"/>
                <w:b/>
                <w:color w:val="000000"/>
                <w:kern w:val="0"/>
                <w:sz w:val="24"/>
                <w:szCs w:val="24"/>
              </w:rPr>
              <w:t>制造业行业名称</w:t>
            </w:r>
          </w:p>
        </w:tc>
        <w:tc>
          <w:tcPr>
            <w:tcW w:w="992" w:type="dxa"/>
            <w:noWrap w:val="0"/>
            <w:vAlign w:val="center"/>
          </w:tcPr>
          <w:p>
            <w:pPr>
              <w:widowControl/>
              <w:spacing w:line="280" w:lineRule="exact"/>
              <w:jc w:val="center"/>
              <w:rPr>
                <w:rFonts w:ascii="宋体" w:hAnsi="宋体" w:eastAsia="方正仿宋_GBK" w:cs="宋体"/>
                <w:b/>
                <w:color w:val="000000"/>
                <w:kern w:val="0"/>
                <w:sz w:val="24"/>
                <w:szCs w:val="24"/>
              </w:rPr>
            </w:pPr>
            <w:r>
              <w:rPr>
                <w:rFonts w:hint="eastAsia" w:ascii="宋体" w:hAnsi="宋体" w:eastAsia="方正仿宋_GBK" w:cs="宋体"/>
                <w:b/>
                <w:color w:val="000000"/>
                <w:kern w:val="0"/>
                <w:sz w:val="24"/>
                <w:szCs w:val="24"/>
              </w:rPr>
              <w:t>容积率</w:t>
            </w:r>
          </w:p>
        </w:tc>
        <w:tc>
          <w:tcPr>
            <w:tcW w:w="1350" w:type="dxa"/>
            <w:noWrap w:val="0"/>
            <w:vAlign w:val="center"/>
          </w:tcPr>
          <w:p>
            <w:pPr>
              <w:widowControl/>
              <w:spacing w:line="280" w:lineRule="exact"/>
              <w:jc w:val="center"/>
              <w:rPr>
                <w:rFonts w:ascii="宋体" w:hAnsi="宋体" w:eastAsia="方正仿宋_GBK" w:cs="宋体"/>
                <w:b/>
                <w:color w:val="000000"/>
                <w:kern w:val="0"/>
                <w:sz w:val="24"/>
                <w:szCs w:val="24"/>
              </w:rPr>
            </w:pPr>
            <w:r>
              <w:rPr>
                <w:rFonts w:hint="eastAsia" w:ascii="宋体" w:hAnsi="宋体" w:eastAsia="方正仿宋_GBK" w:cs="宋体"/>
                <w:b/>
                <w:color w:val="000000"/>
                <w:kern w:val="0"/>
                <w:sz w:val="24"/>
                <w:szCs w:val="24"/>
              </w:rPr>
              <w:t>固定资产投资强度（万元/亩）</w:t>
            </w:r>
          </w:p>
        </w:tc>
        <w:tc>
          <w:tcPr>
            <w:tcW w:w="1144" w:type="dxa"/>
            <w:noWrap w:val="0"/>
            <w:vAlign w:val="center"/>
          </w:tcPr>
          <w:p>
            <w:pPr>
              <w:widowControl/>
              <w:spacing w:line="280" w:lineRule="exact"/>
              <w:jc w:val="center"/>
              <w:rPr>
                <w:rFonts w:ascii="宋体" w:hAnsi="宋体" w:eastAsia="方正仿宋_GBK" w:cs="宋体"/>
                <w:b/>
                <w:color w:val="000000"/>
                <w:kern w:val="0"/>
                <w:sz w:val="24"/>
                <w:szCs w:val="24"/>
              </w:rPr>
            </w:pPr>
            <w:r>
              <w:rPr>
                <w:rFonts w:hint="eastAsia" w:ascii="宋体" w:hAnsi="宋体" w:eastAsia="方正仿宋_GBK" w:cs="宋体"/>
                <w:b/>
                <w:color w:val="000000"/>
                <w:kern w:val="0"/>
                <w:sz w:val="24"/>
                <w:szCs w:val="24"/>
              </w:rPr>
              <w:t>亩均税收（万元/亩）</w:t>
            </w:r>
          </w:p>
        </w:tc>
        <w:tc>
          <w:tcPr>
            <w:tcW w:w="1418" w:type="dxa"/>
            <w:noWrap w:val="0"/>
            <w:vAlign w:val="center"/>
          </w:tcPr>
          <w:p>
            <w:pPr>
              <w:widowControl/>
              <w:spacing w:line="280" w:lineRule="exact"/>
              <w:jc w:val="center"/>
              <w:rPr>
                <w:rFonts w:ascii="宋体" w:hAnsi="宋体" w:eastAsia="方正仿宋_GBK" w:cs="宋体"/>
                <w:b/>
                <w:color w:val="000000"/>
                <w:kern w:val="0"/>
                <w:sz w:val="24"/>
                <w:szCs w:val="24"/>
              </w:rPr>
            </w:pPr>
            <w:r>
              <w:rPr>
                <w:rFonts w:hint="eastAsia" w:ascii="宋体" w:hAnsi="宋体" w:eastAsia="方正仿宋_GBK" w:cs="宋体"/>
                <w:b/>
                <w:color w:val="000000"/>
                <w:kern w:val="0"/>
                <w:sz w:val="24"/>
                <w:szCs w:val="24"/>
              </w:rPr>
              <w:t>单位能耗工业增加值（万元/吨标煤）</w:t>
            </w:r>
          </w:p>
        </w:tc>
        <w:tc>
          <w:tcPr>
            <w:tcW w:w="1276" w:type="dxa"/>
            <w:noWrap w:val="0"/>
            <w:vAlign w:val="center"/>
          </w:tcPr>
          <w:p>
            <w:pPr>
              <w:widowControl/>
              <w:spacing w:line="280" w:lineRule="exact"/>
              <w:jc w:val="center"/>
              <w:rPr>
                <w:rFonts w:ascii="宋体" w:hAnsi="宋体" w:eastAsia="方正仿宋_GBK" w:cs="宋体"/>
                <w:b/>
                <w:color w:val="000000"/>
                <w:kern w:val="0"/>
                <w:sz w:val="24"/>
                <w:szCs w:val="24"/>
              </w:rPr>
            </w:pPr>
            <w:r>
              <w:rPr>
                <w:rFonts w:hint="eastAsia" w:ascii="宋体" w:hAnsi="宋体" w:eastAsia="方正仿宋_GBK" w:cs="宋体"/>
                <w:b/>
                <w:color w:val="000000"/>
                <w:kern w:val="0"/>
                <w:sz w:val="24"/>
                <w:szCs w:val="24"/>
              </w:rPr>
              <w:t>单位排放工业增加值（万元/吨）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13</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农副食品加工业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125</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2.79</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1.06</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45.32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14</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食品制造业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125</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8.99</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1.15</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728.54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15</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酒、饮料和精制茶制造业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125</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9.88</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6.12</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220.02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16</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烟草制品业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190</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220.00</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100.00</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220.02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17</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纺织业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≥0.9</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161</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5.70</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0.86</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18</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纺织服装、服饰业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≥1.1</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161</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8.28</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8.11</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19</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皮革、毛皮、羽毛及其制品和制鞋业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≥1.1</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125</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8.95</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5.11</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273.64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20</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木材加工和木、竹、藤、棕、草制品业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≥0.9</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94</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6.00</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0.95</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39.05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21</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家具制造业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≥0.9</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125</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7.81</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12.13</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22</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造纸和纸制品业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≥0.8</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125</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5.24</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0.39</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178.21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23</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印刷和记录媒介复制业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≥0.9</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190</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9.86</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3.10</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1645.02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24</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文教、工美、体育和娱乐用品制造业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≥1.1</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161</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9.07</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1.35</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3526.52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25</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石油、煤炭及其他燃料加工业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≥0.5</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190</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171.59</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0.49</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2479.84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26</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化学原料和化学制品制造业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≥0.6</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190</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9.99</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0.26</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630.74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27</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医药制造业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≥0.8</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236</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18.32</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6.63</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1418.03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28</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化学纤维制造业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≥0.8</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266</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56.83</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1.03</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379.95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29</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橡胶和塑料制品业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≥0.9</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161</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8.00</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0.94</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345.08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28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30</w:t>
            </w:r>
          </w:p>
        </w:tc>
        <w:tc>
          <w:tcPr>
            <w:tcW w:w="223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非金属矿物制品业</w:t>
            </w:r>
          </w:p>
        </w:tc>
        <w:tc>
          <w:tcPr>
            <w:tcW w:w="992"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≥0.8</w:t>
            </w:r>
          </w:p>
        </w:tc>
        <w:tc>
          <w:tcPr>
            <w:tcW w:w="1350" w:type="dxa"/>
            <w:noWrap w:val="0"/>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94</w:t>
            </w:r>
          </w:p>
        </w:tc>
        <w:tc>
          <w:tcPr>
            <w:tcW w:w="1144"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10.01</w:t>
            </w:r>
          </w:p>
        </w:tc>
        <w:tc>
          <w:tcPr>
            <w:tcW w:w="1418"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0.22</w:t>
            </w:r>
          </w:p>
        </w:tc>
        <w:tc>
          <w:tcPr>
            <w:tcW w:w="1276" w:type="dxa"/>
            <w:noWrap/>
            <w:vAlign w:val="center"/>
          </w:tcPr>
          <w:p>
            <w:pPr>
              <w:widowControl/>
              <w:spacing w:line="28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1148.11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30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31</w:t>
            </w:r>
          </w:p>
        </w:tc>
        <w:tc>
          <w:tcPr>
            <w:tcW w:w="2230"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黑色金属冶炼和压延加工业</w:t>
            </w:r>
          </w:p>
        </w:tc>
        <w:tc>
          <w:tcPr>
            <w:tcW w:w="992"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≥0.6</w:t>
            </w:r>
          </w:p>
        </w:tc>
        <w:tc>
          <w:tcPr>
            <w:tcW w:w="1350"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236</w:t>
            </w:r>
          </w:p>
        </w:tc>
        <w:tc>
          <w:tcPr>
            <w:tcW w:w="1144"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5.72</w:t>
            </w:r>
          </w:p>
        </w:tc>
        <w:tc>
          <w:tcPr>
            <w:tcW w:w="1418"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0.15</w:t>
            </w:r>
          </w:p>
        </w:tc>
        <w:tc>
          <w:tcPr>
            <w:tcW w:w="1276"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771.62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30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32</w:t>
            </w:r>
          </w:p>
        </w:tc>
        <w:tc>
          <w:tcPr>
            <w:tcW w:w="2230"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有色金属冶炼和压延加工业</w:t>
            </w:r>
          </w:p>
        </w:tc>
        <w:tc>
          <w:tcPr>
            <w:tcW w:w="992"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≥0.6</w:t>
            </w:r>
          </w:p>
        </w:tc>
        <w:tc>
          <w:tcPr>
            <w:tcW w:w="1350"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236</w:t>
            </w:r>
          </w:p>
        </w:tc>
        <w:tc>
          <w:tcPr>
            <w:tcW w:w="1144"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7.10</w:t>
            </w:r>
          </w:p>
        </w:tc>
        <w:tc>
          <w:tcPr>
            <w:tcW w:w="1418"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0.37</w:t>
            </w:r>
          </w:p>
        </w:tc>
        <w:tc>
          <w:tcPr>
            <w:tcW w:w="1276"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1802.66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30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33</w:t>
            </w:r>
          </w:p>
        </w:tc>
        <w:tc>
          <w:tcPr>
            <w:tcW w:w="2230"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金属制品业</w:t>
            </w:r>
          </w:p>
        </w:tc>
        <w:tc>
          <w:tcPr>
            <w:tcW w:w="992"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≥0.8</w:t>
            </w:r>
          </w:p>
        </w:tc>
        <w:tc>
          <w:tcPr>
            <w:tcW w:w="1350"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190</w:t>
            </w:r>
          </w:p>
        </w:tc>
        <w:tc>
          <w:tcPr>
            <w:tcW w:w="1144"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7.31</w:t>
            </w:r>
          </w:p>
        </w:tc>
        <w:tc>
          <w:tcPr>
            <w:tcW w:w="1418"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1.16</w:t>
            </w:r>
          </w:p>
        </w:tc>
        <w:tc>
          <w:tcPr>
            <w:tcW w:w="1276"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303.63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30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34</w:t>
            </w:r>
          </w:p>
        </w:tc>
        <w:tc>
          <w:tcPr>
            <w:tcW w:w="2230"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通用设备制造业</w:t>
            </w:r>
          </w:p>
        </w:tc>
        <w:tc>
          <w:tcPr>
            <w:tcW w:w="992"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≥0.8</w:t>
            </w:r>
          </w:p>
        </w:tc>
        <w:tc>
          <w:tcPr>
            <w:tcW w:w="1350"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236</w:t>
            </w:r>
          </w:p>
        </w:tc>
        <w:tc>
          <w:tcPr>
            <w:tcW w:w="1144"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5.65</w:t>
            </w:r>
          </w:p>
        </w:tc>
        <w:tc>
          <w:tcPr>
            <w:tcW w:w="1418"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3.42</w:t>
            </w:r>
          </w:p>
        </w:tc>
        <w:tc>
          <w:tcPr>
            <w:tcW w:w="1276"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342.47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30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35</w:t>
            </w:r>
          </w:p>
        </w:tc>
        <w:tc>
          <w:tcPr>
            <w:tcW w:w="2230"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专用设备制造业</w:t>
            </w:r>
          </w:p>
        </w:tc>
        <w:tc>
          <w:tcPr>
            <w:tcW w:w="992"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≥0.8</w:t>
            </w:r>
          </w:p>
        </w:tc>
        <w:tc>
          <w:tcPr>
            <w:tcW w:w="1350"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236</w:t>
            </w:r>
          </w:p>
        </w:tc>
        <w:tc>
          <w:tcPr>
            <w:tcW w:w="1144"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8.88</w:t>
            </w:r>
          </w:p>
        </w:tc>
        <w:tc>
          <w:tcPr>
            <w:tcW w:w="1418"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6.17</w:t>
            </w:r>
          </w:p>
        </w:tc>
        <w:tc>
          <w:tcPr>
            <w:tcW w:w="1276"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631.44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300" w:lineRule="exact"/>
              <w:jc w:val="center"/>
              <w:rPr>
                <w:rFonts w:ascii="宋体" w:hAnsi="宋体" w:eastAsia="方正仿宋_GBK"/>
                <w:color w:val="000000"/>
                <w:kern w:val="0"/>
                <w:sz w:val="24"/>
                <w:szCs w:val="24"/>
              </w:rPr>
            </w:pPr>
            <w:r>
              <w:rPr>
                <w:rFonts w:hint="eastAsia" w:ascii="宋体" w:hAnsi="宋体" w:eastAsia="方正仿宋_GBK"/>
                <w:color w:val="000000"/>
                <w:kern w:val="0"/>
                <w:sz w:val="24"/>
                <w:szCs w:val="24"/>
              </w:rPr>
              <w:t>36</w:t>
            </w:r>
          </w:p>
        </w:tc>
        <w:tc>
          <w:tcPr>
            <w:tcW w:w="2230"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汽车制造业</w:t>
            </w:r>
          </w:p>
        </w:tc>
        <w:tc>
          <w:tcPr>
            <w:tcW w:w="992"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≥0.8</w:t>
            </w:r>
          </w:p>
        </w:tc>
        <w:tc>
          <w:tcPr>
            <w:tcW w:w="1350" w:type="dxa"/>
            <w:noWrap w:val="0"/>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w:t>
            </w:r>
            <w:r>
              <w:rPr>
                <w:rFonts w:ascii="宋体" w:hAnsi="宋体" w:eastAsia="方正仿宋_GBK" w:cs="宋体"/>
                <w:color w:val="000000"/>
                <w:kern w:val="0"/>
                <w:sz w:val="24"/>
                <w:szCs w:val="24"/>
              </w:rPr>
              <w:t>266</w:t>
            </w:r>
          </w:p>
        </w:tc>
        <w:tc>
          <w:tcPr>
            <w:tcW w:w="1144"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11.73</w:t>
            </w:r>
          </w:p>
        </w:tc>
        <w:tc>
          <w:tcPr>
            <w:tcW w:w="1418"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1.63</w:t>
            </w:r>
          </w:p>
        </w:tc>
        <w:tc>
          <w:tcPr>
            <w:tcW w:w="1276" w:type="dxa"/>
            <w:noWrap/>
            <w:vAlign w:val="center"/>
          </w:tcPr>
          <w:p>
            <w:pPr>
              <w:widowControl/>
              <w:spacing w:line="300" w:lineRule="exact"/>
              <w:jc w:val="center"/>
              <w:rPr>
                <w:rFonts w:ascii="宋体" w:hAnsi="宋体" w:eastAsia="方正仿宋_GBK" w:cs="宋体"/>
                <w:color w:val="000000"/>
                <w:kern w:val="0"/>
                <w:sz w:val="24"/>
                <w:szCs w:val="24"/>
              </w:rPr>
            </w:pPr>
            <w:r>
              <w:rPr>
                <w:rFonts w:hint="eastAsia" w:ascii="宋体" w:hAnsi="宋体" w:eastAsia="方正仿宋_GBK" w:cs="宋体"/>
                <w:color w:val="000000"/>
                <w:kern w:val="0"/>
                <w:sz w:val="24"/>
                <w:szCs w:val="24"/>
              </w:rPr>
              <w:t>999.74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37</w:t>
            </w:r>
          </w:p>
        </w:tc>
        <w:tc>
          <w:tcPr>
            <w:tcW w:w="223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铁路、船舶、航空航天和其他运输设备制造业</w:t>
            </w:r>
          </w:p>
        </w:tc>
        <w:tc>
          <w:tcPr>
            <w:tcW w:w="992"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≥0.8</w:t>
            </w:r>
          </w:p>
        </w:tc>
        <w:tc>
          <w:tcPr>
            <w:tcW w:w="135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≥266</w:t>
            </w:r>
          </w:p>
        </w:tc>
        <w:tc>
          <w:tcPr>
            <w:tcW w:w="1144"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4.03</w:t>
            </w:r>
          </w:p>
        </w:tc>
        <w:tc>
          <w:tcPr>
            <w:tcW w:w="1418"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2.54</w:t>
            </w:r>
          </w:p>
        </w:tc>
        <w:tc>
          <w:tcPr>
            <w:tcW w:w="1276"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1296.52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38</w:t>
            </w:r>
          </w:p>
        </w:tc>
        <w:tc>
          <w:tcPr>
            <w:tcW w:w="223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电气机械和器材制造业</w:t>
            </w:r>
          </w:p>
        </w:tc>
        <w:tc>
          <w:tcPr>
            <w:tcW w:w="992"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≥0.8</w:t>
            </w:r>
          </w:p>
        </w:tc>
        <w:tc>
          <w:tcPr>
            <w:tcW w:w="135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≥266</w:t>
            </w:r>
          </w:p>
        </w:tc>
        <w:tc>
          <w:tcPr>
            <w:tcW w:w="1144"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11.88</w:t>
            </w:r>
          </w:p>
        </w:tc>
        <w:tc>
          <w:tcPr>
            <w:tcW w:w="1418"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2.42</w:t>
            </w:r>
          </w:p>
        </w:tc>
        <w:tc>
          <w:tcPr>
            <w:tcW w:w="1276"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4710.56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39</w:t>
            </w:r>
          </w:p>
        </w:tc>
        <w:tc>
          <w:tcPr>
            <w:tcW w:w="223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计算机、通信和其他电子设备制造业</w:t>
            </w:r>
          </w:p>
        </w:tc>
        <w:tc>
          <w:tcPr>
            <w:tcW w:w="992"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≥1.1</w:t>
            </w:r>
          </w:p>
        </w:tc>
        <w:tc>
          <w:tcPr>
            <w:tcW w:w="135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≥283</w:t>
            </w:r>
          </w:p>
        </w:tc>
        <w:tc>
          <w:tcPr>
            <w:tcW w:w="1144"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25.54</w:t>
            </w:r>
          </w:p>
        </w:tc>
        <w:tc>
          <w:tcPr>
            <w:tcW w:w="1418"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2.12</w:t>
            </w:r>
          </w:p>
        </w:tc>
        <w:tc>
          <w:tcPr>
            <w:tcW w:w="1276"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590.03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40</w:t>
            </w:r>
          </w:p>
        </w:tc>
        <w:tc>
          <w:tcPr>
            <w:tcW w:w="223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仪器仪表制造业</w:t>
            </w:r>
          </w:p>
        </w:tc>
        <w:tc>
          <w:tcPr>
            <w:tcW w:w="992"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≥1.1</w:t>
            </w:r>
          </w:p>
        </w:tc>
        <w:tc>
          <w:tcPr>
            <w:tcW w:w="135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≥236</w:t>
            </w:r>
          </w:p>
        </w:tc>
        <w:tc>
          <w:tcPr>
            <w:tcW w:w="1144"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18.89</w:t>
            </w:r>
          </w:p>
        </w:tc>
        <w:tc>
          <w:tcPr>
            <w:tcW w:w="1418"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19.71</w:t>
            </w:r>
          </w:p>
        </w:tc>
        <w:tc>
          <w:tcPr>
            <w:tcW w:w="1276"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785.20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41</w:t>
            </w:r>
          </w:p>
        </w:tc>
        <w:tc>
          <w:tcPr>
            <w:tcW w:w="223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其他制造业</w:t>
            </w:r>
          </w:p>
        </w:tc>
        <w:tc>
          <w:tcPr>
            <w:tcW w:w="992"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≥0.8</w:t>
            </w:r>
          </w:p>
        </w:tc>
        <w:tc>
          <w:tcPr>
            <w:tcW w:w="135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≥125</w:t>
            </w:r>
          </w:p>
        </w:tc>
        <w:tc>
          <w:tcPr>
            <w:tcW w:w="1144"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5.50</w:t>
            </w:r>
          </w:p>
        </w:tc>
        <w:tc>
          <w:tcPr>
            <w:tcW w:w="1418"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5.12</w:t>
            </w:r>
          </w:p>
        </w:tc>
        <w:tc>
          <w:tcPr>
            <w:tcW w:w="1276"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10857.10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42</w:t>
            </w:r>
          </w:p>
        </w:tc>
        <w:tc>
          <w:tcPr>
            <w:tcW w:w="223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废弃资源综合利用业</w:t>
            </w:r>
          </w:p>
        </w:tc>
        <w:tc>
          <w:tcPr>
            <w:tcW w:w="992"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≥0.8</w:t>
            </w:r>
          </w:p>
        </w:tc>
        <w:tc>
          <w:tcPr>
            <w:tcW w:w="135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≥125</w:t>
            </w:r>
          </w:p>
        </w:tc>
        <w:tc>
          <w:tcPr>
            <w:tcW w:w="1144"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10.31</w:t>
            </w:r>
          </w:p>
        </w:tc>
        <w:tc>
          <w:tcPr>
            <w:tcW w:w="1418"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0.49</w:t>
            </w:r>
          </w:p>
        </w:tc>
        <w:tc>
          <w:tcPr>
            <w:tcW w:w="1276"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3787.32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43</w:t>
            </w:r>
          </w:p>
        </w:tc>
        <w:tc>
          <w:tcPr>
            <w:tcW w:w="223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金属制品、机械和设备修理业</w:t>
            </w:r>
          </w:p>
        </w:tc>
        <w:tc>
          <w:tcPr>
            <w:tcW w:w="992"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≥0.8</w:t>
            </w:r>
          </w:p>
        </w:tc>
        <w:tc>
          <w:tcPr>
            <w:tcW w:w="1350" w:type="dxa"/>
            <w:noWrap w:val="0"/>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≥125</w:t>
            </w:r>
          </w:p>
        </w:tc>
        <w:tc>
          <w:tcPr>
            <w:tcW w:w="1144"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5.92</w:t>
            </w:r>
          </w:p>
        </w:tc>
        <w:tc>
          <w:tcPr>
            <w:tcW w:w="1418"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3.75</w:t>
            </w:r>
          </w:p>
        </w:tc>
        <w:tc>
          <w:tcPr>
            <w:tcW w:w="1276" w:type="dxa"/>
            <w:noWrap/>
            <w:vAlign w:val="center"/>
          </w:tcPr>
          <w:p>
            <w:pPr>
              <w:widowControl/>
              <w:spacing w:line="300" w:lineRule="exact"/>
              <w:jc w:val="center"/>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199.30</w:t>
            </w:r>
          </w:p>
        </w:tc>
      </w:tr>
    </w:tbl>
    <w:p>
      <w:pPr>
        <w:pStyle w:val="3"/>
        <w:spacing w:line="540" w:lineRule="exact"/>
        <w:ind w:firstLine="640" w:firstLineChars="200"/>
        <w:jc w:val="left"/>
        <w:rPr>
          <w:rFonts w:hint="eastAsia" w:ascii="宋体" w:hAnsi="宋体" w:eastAsia="方正仿宋_GBK" w:cs="方正仿宋_GBK"/>
          <w:b w:val="0"/>
          <w:bCs/>
          <w:color w:val="000000"/>
          <w:sz w:val="32"/>
          <w:szCs w:val="32"/>
        </w:rPr>
      </w:pPr>
      <w:r>
        <w:rPr>
          <w:rFonts w:hint="eastAsia" w:ascii="宋体" w:hAnsi="宋体" w:eastAsia="方正仿宋_GBK" w:cs="方正仿宋_GBK"/>
          <w:b w:val="0"/>
          <w:bCs/>
          <w:color w:val="000000"/>
          <w:sz w:val="32"/>
          <w:szCs w:val="32"/>
        </w:rPr>
        <w:t>备注：</w:t>
      </w:r>
    </w:p>
    <w:p>
      <w:pPr>
        <w:pStyle w:val="3"/>
        <w:spacing w:line="540" w:lineRule="exact"/>
        <w:ind w:firstLine="640" w:firstLineChars="200"/>
        <w:jc w:val="left"/>
        <w:rPr>
          <w:rFonts w:hint="eastAsia" w:ascii="宋体" w:hAnsi="宋体" w:eastAsia="方正仿宋_GBK" w:cs="方正仿宋_GBK"/>
          <w:b w:val="0"/>
          <w:bCs/>
          <w:color w:val="000000"/>
          <w:sz w:val="32"/>
          <w:szCs w:val="32"/>
        </w:rPr>
      </w:pPr>
      <w:r>
        <w:rPr>
          <w:rFonts w:hint="eastAsia" w:ascii="宋体" w:hAnsi="宋体" w:eastAsia="方正仿宋_GBK" w:cs="方正仿宋_GBK"/>
          <w:b w:val="0"/>
          <w:bCs/>
          <w:color w:val="000000"/>
          <w:sz w:val="32"/>
          <w:szCs w:val="32"/>
        </w:rPr>
        <w:t>1.制造业行业分类按《国民经济行业分类》（GB/T4754- 2017）执行。战略性新兴产业分类按《战略性新兴产业分类（2018）》（国家统计局令第23号）执行，先进制造业分类按《新产业新业态新商业模式统计分类（2018）》（国统字〔2018〕111号）执行。上述国家标准、部门规章发生修订的，按照修订后的执行。</w:t>
      </w:r>
    </w:p>
    <w:p>
      <w:pPr>
        <w:pStyle w:val="3"/>
        <w:spacing w:line="540" w:lineRule="exact"/>
        <w:ind w:firstLine="640" w:firstLineChars="200"/>
        <w:jc w:val="left"/>
        <w:rPr>
          <w:rFonts w:hint="eastAsia" w:ascii="宋体" w:hAnsi="宋体" w:eastAsia="方正仿宋_GBK" w:cs="方正仿宋_GBK"/>
          <w:b w:val="0"/>
          <w:bCs/>
          <w:color w:val="000000"/>
          <w:sz w:val="32"/>
          <w:szCs w:val="32"/>
        </w:rPr>
      </w:pPr>
      <w:r>
        <w:rPr>
          <w:rFonts w:hint="eastAsia" w:ascii="宋体" w:hAnsi="宋体" w:eastAsia="方正仿宋_GBK" w:cs="方正仿宋_GBK"/>
          <w:b w:val="0"/>
          <w:bCs/>
          <w:color w:val="000000"/>
          <w:sz w:val="32"/>
          <w:szCs w:val="32"/>
        </w:rPr>
        <w:t>2.固定资产投资强度、容积率：根据《工业项目建设用地控制指标》有关内容，结合云南省实际确定。</w:t>
      </w:r>
    </w:p>
    <w:p>
      <w:pPr>
        <w:pStyle w:val="3"/>
        <w:spacing w:line="540" w:lineRule="exact"/>
        <w:ind w:firstLine="640" w:firstLineChars="200"/>
        <w:jc w:val="left"/>
        <w:rPr>
          <w:rFonts w:hint="eastAsia" w:ascii="宋体" w:hAnsi="宋体" w:eastAsia="方正仿宋_GBK" w:cs="方正仿宋_GBK"/>
          <w:b w:val="0"/>
          <w:bCs/>
          <w:color w:val="000000"/>
          <w:sz w:val="32"/>
          <w:szCs w:val="32"/>
        </w:rPr>
      </w:pPr>
      <w:r>
        <w:rPr>
          <w:rFonts w:hint="eastAsia" w:ascii="宋体" w:hAnsi="宋体" w:eastAsia="方正仿宋_GBK" w:cs="方正仿宋_GBK"/>
          <w:b w:val="0"/>
          <w:bCs/>
          <w:color w:val="000000"/>
          <w:sz w:val="32"/>
          <w:szCs w:val="32"/>
        </w:rPr>
        <w:t>3.亩均税收、单位能耗工业增加值、单位排放工业增加值由相关省级主管部门提供统计数据测算确定。31类制造业行业的细分子行业项目，其单位能耗工业增加值、单位排放工业增加值执行相关行业管控标准。</w:t>
      </w:r>
    </w:p>
    <w:p>
      <w:pPr>
        <w:pStyle w:val="3"/>
        <w:spacing w:line="560" w:lineRule="exact"/>
        <w:ind w:firstLine="640" w:firstLineChars="200"/>
        <w:jc w:val="both"/>
        <w:rPr>
          <w:rFonts w:hint="eastAsia" w:ascii="宋体" w:hAnsi="宋体" w:eastAsia="方正仿宋_GBK" w:cs="方正仿宋_GBK"/>
          <w:color w:val="000000"/>
          <w:szCs w:val="32"/>
        </w:rPr>
      </w:pPr>
      <w:r>
        <w:rPr>
          <w:rFonts w:hint="eastAsia" w:ascii="宋体" w:hAnsi="宋体" w:eastAsia="方正仿宋_GBK" w:cs="方正仿宋_GBK"/>
          <w:b w:val="0"/>
          <w:bCs/>
          <w:color w:val="000000"/>
          <w:sz w:val="32"/>
          <w:szCs w:val="32"/>
        </w:rPr>
        <w:t>4.区域划分及修正系数：</w:t>
      </w:r>
    </w:p>
    <w:tbl>
      <w:tblPr>
        <w:tblStyle w:val="5"/>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6550"/>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1191" w:type="dxa"/>
            <w:noWrap w:val="0"/>
            <w:vAlign w:val="center"/>
          </w:tcPr>
          <w:p>
            <w:pPr>
              <w:widowControl/>
              <w:jc w:val="center"/>
              <w:rPr>
                <w:rFonts w:ascii="宋体" w:hAnsi="宋体" w:eastAsia="方正仿宋_GBK" w:cs="宋体"/>
                <w:b/>
                <w:bCs/>
                <w:color w:val="000000"/>
                <w:kern w:val="0"/>
                <w:sz w:val="22"/>
                <w:szCs w:val="28"/>
              </w:rPr>
            </w:pPr>
            <w:r>
              <w:rPr>
                <w:rFonts w:hint="eastAsia" w:ascii="宋体" w:hAnsi="宋体" w:eastAsia="方正仿宋_GBK" w:cs="宋体"/>
                <w:b/>
                <w:bCs/>
                <w:color w:val="000000"/>
                <w:kern w:val="0"/>
                <w:sz w:val="22"/>
                <w:szCs w:val="28"/>
              </w:rPr>
              <w:t>分类</w:t>
            </w:r>
          </w:p>
        </w:tc>
        <w:tc>
          <w:tcPr>
            <w:tcW w:w="6550" w:type="dxa"/>
            <w:noWrap w:val="0"/>
            <w:vAlign w:val="center"/>
          </w:tcPr>
          <w:p>
            <w:pPr>
              <w:widowControl/>
              <w:jc w:val="center"/>
              <w:rPr>
                <w:rFonts w:ascii="宋体" w:hAnsi="宋体" w:eastAsia="方正仿宋_GBK" w:cs="宋体"/>
                <w:b/>
                <w:bCs/>
                <w:color w:val="000000"/>
                <w:kern w:val="0"/>
                <w:sz w:val="22"/>
                <w:szCs w:val="28"/>
              </w:rPr>
            </w:pPr>
            <w:r>
              <w:rPr>
                <w:rFonts w:hint="eastAsia" w:ascii="宋体" w:hAnsi="宋体" w:eastAsia="方正仿宋_GBK" w:cs="宋体"/>
                <w:b/>
                <w:bCs/>
                <w:color w:val="000000"/>
                <w:kern w:val="0"/>
                <w:sz w:val="22"/>
                <w:szCs w:val="28"/>
              </w:rPr>
              <w:t>开发区（产业园区、贸易区、保税区、经济合作区）</w:t>
            </w:r>
          </w:p>
        </w:tc>
        <w:tc>
          <w:tcPr>
            <w:tcW w:w="1304" w:type="dxa"/>
            <w:noWrap w:val="0"/>
            <w:vAlign w:val="center"/>
          </w:tcPr>
          <w:p>
            <w:pPr>
              <w:widowControl/>
              <w:jc w:val="center"/>
              <w:rPr>
                <w:rFonts w:ascii="宋体" w:hAnsi="宋体" w:eastAsia="方正仿宋_GBK" w:cs="宋体"/>
                <w:b/>
                <w:bCs/>
                <w:color w:val="000000"/>
                <w:kern w:val="0"/>
                <w:sz w:val="22"/>
                <w:szCs w:val="28"/>
              </w:rPr>
            </w:pPr>
            <w:r>
              <w:rPr>
                <w:rFonts w:hint="eastAsia" w:ascii="宋体" w:hAnsi="宋体" w:eastAsia="方正仿宋_GBK" w:cs="宋体"/>
                <w:b/>
                <w:bCs/>
                <w:color w:val="000000"/>
                <w:kern w:val="0"/>
                <w:sz w:val="22"/>
                <w:szCs w:val="28"/>
              </w:rPr>
              <w:t>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191" w:type="dxa"/>
            <w:noWrap w:val="0"/>
            <w:vAlign w:val="center"/>
          </w:tcPr>
          <w:p>
            <w:pPr>
              <w:widowControl/>
              <w:jc w:val="center"/>
              <w:rPr>
                <w:rFonts w:hint="eastAsia" w:ascii="宋体" w:hAnsi="宋体" w:eastAsia="仿宋" w:cs="宋体"/>
                <w:color w:val="000000"/>
                <w:kern w:val="0"/>
                <w:sz w:val="24"/>
                <w:szCs w:val="28"/>
              </w:rPr>
            </w:pPr>
            <w:r>
              <w:rPr>
                <w:rFonts w:hint="eastAsia" w:ascii="宋体" w:hAnsi="宋体" w:eastAsia="仿宋" w:cs="宋体"/>
                <w:color w:val="000000"/>
                <w:kern w:val="0"/>
                <w:sz w:val="24"/>
                <w:szCs w:val="28"/>
              </w:rPr>
              <w:t>一类区域</w:t>
            </w:r>
          </w:p>
          <w:p>
            <w:pPr>
              <w:widowControl/>
              <w:jc w:val="center"/>
              <w:rPr>
                <w:rFonts w:ascii="宋体" w:hAnsi="宋体" w:eastAsia="方正仿宋_GBK" w:cs="宋体"/>
                <w:color w:val="000000"/>
                <w:kern w:val="0"/>
                <w:sz w:val="24"/>
                <w:szCs w:val="28"/>
              </w:rPr>
            </w:pPr>
            <w:r>
              <w:rPr>
                <w:rFonts w:hint="eastAsia" w:ascii="宋体" w:hAnsi="宋体" w:eastAsia="仿宋" w:cs="宋体"/>
                <w:color w:val="000000"/>
                <w:kern w:val="0"/>
                <w:sz w:val="24"/>
                <w:szCs w:val="28"/>
              </w:rPr>
              <w:t>（国家级开发区、省级重点重大项目共14个）</w:t>
            </w:r>
          </w:p>
        </w:tc>
        <w:tc>
          <w:tcPr>
            <w:tcW w:w="6550" w:type="dxa"/>
            <w:noWrap w:val="0"/>
            <w:vAlign w:val="center"/>
          </w:tcPr>
          <w:p>
            <w:pPr>
              <w:widowControl/>
              <w:jc w:val="left"/>
              <w:rPr>
                <w:rFonts w:ascii="宋体" w:hAnsi="宋体" w:eastAsia="仿宋" w:cs="宋体"/>
                <w:color w:val="000000"/>
                <w:kern w:val="0"/>
                <w:sz w:val="24"/>
                <w:szCs w:val="28"/>
              </w:rPr>
            </w:pPr>
            <w:r>
              <w:rPr>
                <w:rFonts w:hint="eastAsia" w:ascii="宋体" w:hAnsi="宋体" w:eastAsia="仿宋" w:cs="宋体"/>
                <w:color w:val="000000"/>
                <w:kern w:val="0"/>
                <w:sz w:val="24"/>
                <w:szCs w:val="28"/>
              </w:rPr>
              <w:t>昆明经济技术开发区、嵩明杨林经济技术开发区、昆明高新技术产业开发区、曲靖经济技术开发区、玉溪高新技术产业开发区、蒙自经济技术开发区、大理经济技术开发区、昆明综合保税区、红河综合保税区、临沧边境经济合作区、中国老挝磨憨—磨丁经济合作区、畹町边境经济合作区、瑞丽边境经济合作区、昆明滇池国家旅游度假区</w:t>
            </w:r>
          </w:p>
        </w:tc>
        <w:tc>
          <w:tcPr>
            <w:tcW w:w="1304" w:type="dxa"/>
            <w:noWrap w:val="0"/>
            <w:vAlign w:val="center"/>
          </w:tcPr>
          <w:p>
            <w:pPr>
              <w:widowControl/>
              <w:jc w:val="center"/>
              <w:rPr>
                <w:rFonts w:ascii="宋体" w:hAnsi="宋体" w:eastAsia="方正仿宋_GBK" w:cs="宋体"/>
                <w:color w:val="000000"/>
                <w:kern w:val="0"/>
                <w:sz w:val="22"/>
                <w:szCs w:val="28"/>
              </w:rPr>
            </w:pPr>
            <w:r>
              <w:rPr>
                <w:rFonts w:hint="eastAsia" w:ascii="宋体" w:hAnsi="宋体" w:eastAsia="方正仿宋_GBK" w:cs="宋体"/>
                <w:color w:val="000000"/>
                <w:kern w:val="0"/>
                <w:sz w:val="22"/>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1191" w:type="dxa"/>
            <w:noWrap w:val="0"/>
            <w:vAlign w:val="center"/>
          </w:tcPr>
          <w:p>
            <w:pPr>
              <w:widowControl/>
              <w:jc w:val="center"/>
              <w:rPr>
                <w:rFonts w:hint="eastAsia" w:ascii="宋体" w:hAnsi="宋体" w:eastAsia="仿宋" w:cs="宋体"/>
                <w:color w:val="000000"/>
                <w:kern w:val="0"/>
                <w:sz w:val="24"/>
                <w:szCs w:val="28"/>
              </w:rPr>
            </w:pPr>
            <w:r>
              <w:rPr>
                <w:rFonts w:hint="eastAsia" w:ascii="宋体" w:hAnsi="宋体" w:eastAsia="仿宋" w:cs="宋体"/>
                <w:color w:val="000000"/>
                <w:kern w:val="0"/>
                <w:sz w:val="24"/>
                <w:szCs w:val="28"/>
              </w:rPr>
              <w:t>二类区域</w:t>
            </w:r>
          </w:p>
          <w:p>
            <w:pPr>
              <w:widowControl/>
              <w:jc w:val="center"/>
              <w:rPr>
                <w:rFonts w:ascii="宋体" w:hAnsi="宋体" w:eastAsia="方正仿宋_GBK" w:cs="宋体"/>
                <w:color w:val="000000"/>
                <w:kern w:val="0"/>
                <w:sz w:val="24"/>
                <w:szCs w:val="28"/>
              </w:rPr>
            </w:pPr>
            <w:r>
              <w:rPr>
                <w:rFonts w:hint="eastAsia" w:ascii="宋体" w:hAnsi="宋体" w:eastAsia="仿宋" w:cs="宋体"/>
                <w:color w:val="000000"/>
                <w:kern w:val="0"/>
                <w:sz w:val="24"/>
                <w:szCs w:val="28"/>
              </w:rPr>
              <w:t>（发展水平较好的省级开发区共30个）</w:t>
            </w:r>
          </w:p>
        </w:tc>
        <w:tc>
          <w:tcPr>
            <w:tcW w:w="6550" w:type="dxa"/>
            <w:noWrap w:val="0"/>
            <w:vAlign w:val="center"/>
          </w:tcPr>
          <w:p>
            <w:pPr>
              <w:widowControl/>
              <w:jc w:val="left"/>
              <w:rPr>
                <w:rFonts w:ascii="宋体" w:hAnsi="宋体" w:eastAsia="仿宋" w:cs="宋体"/>
                <w:color w:val="000000"/>
                <w:kern w:val="0"/>
                <w:sz w:val="24"/>
                <w:szCs w:val="28"/>
              </w:rPr>
            </w:pPr>
            <w:r>
              <w:rPr>
                <w:rFonts w:hint="eastAsia" w:ascii="宋体" w:hAnsi="宋体" w:eastAsia="仿宋" w:cs="宋体"/>
                <w:color w:val="000000"/>
                <w:kern w:val="0"/>
                <w:sz w:val="24"/>
                <w:szCs w:val="28"/>
              </w:rPr>
              <w:t>云南安宁产业园区、昆明空港经济区、云南五华产业园区、云南海口产业园区、云南晋宁产业园区、云南省数字经济开发区、云南七甸产业园区、云南昭阳经济技术开发区、云南水富经济技术开发区、曲靖高新技术产业开发区、云南麒麟产业园区、云南宣威经济技术开发区、云南红塔产业园区、云南新平产业园区、云南保山产业园区、云南腾冲经济技术开发区、楚雄高新技术产业开发区、云南禄丰产业园区、河口边境经济合作区、云南泸西产业园区、云南弥勒产业园区、云南蒙自产业园区、文山高新技术产业开发区、云南砚山产业园区、云南思茅产业园区、云南祥云经济技术开发区、云南鹤庆产业园区、瑞丽市姐告边境贸易区、云南华坪产业园区、临沧高新技术产业开发区</w:t>
            </w:r>
          </w:p>
        </w:tc>
        <w:tc>
          <w:tcPr>
            <w:tcW w:w="1304" w:type="dxa"/>
            <w:noWrap w:val="0"/>
            <w:vAlign w:val="center"/>
          </w:tcPr>
          <w:p>
            <w:pPr>
              <w:widowControl/>
              <w:jc w:val="center"/>
              <w:rPr>
                <w:rFonts w:ascii="宋体" w:hAnsi="宋体" w:eastAsia="方正仿宋_GBK" w:cs="宋体"/>
                <w:color w:val="000000"/>
                <w:kern w:val="0"/>
                <w:sz w:val="22"/>
                <w:szCs w:val="28"/>
              </w:rPr>
            </w:pPr>
            <w:r>
              <w:rPr>
                <w:rFonts w:hint="eastAsia" w:ascii="宋体" w:hAnsi="宋体" w:eastAsia="方正仿宋_GBK" w:cs="宋体"/>
                <w:color w:val="000000"/>
                <w:kern w:val="0"/>
                <w:sz w:val="22"/>
                <w:szCs w:val="28"/>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4" w:hRule="atLeast"/>
          <w:jc w:val="center"/>
        </w:trPr>
        <w:tc>
          <w:tcPr>
            <w:tcW w:w="1191" w:type="dxa"/>
            <w:noWrap w:val="0"/>
            <w:vAlign w:val="center"/>
          </w:tcPr>
          <w:p>
            <w:pPr>
              <w:widowControl/>
              <w:jc w:val="center"/>
              <w:rPr>
                <w:rFonts w:hint="eastAsia" w:ascii="宋体" w:hAnsi="宋体" w:eastAsia="仿宋" w:cs="宋体"/>
                <w:color w:val="000000"/>
                <w:kern w:val="0"/>
                <w:sz w:val="24"/>
                <w:szCs w:val="28"/>
              </w:rPr>
            </w:pPr>
            <w:r>
              <w:rPr>
                <w:rFonts w:hint="eastAsia" w:ascii="宋体" w:hAnsi="宋体" w:eastAsia="仿宋" w:cs="宋体"/>
                <w:color w:val="000000"/>
                <w:kern w:val="0"/>
                <w:sz w:val="24"/>
                <w:szCs w:val="28"/>
              </w:rPr>
              <w:t>三类区域</w:t>
            </w:r>
          </w:p>
          <w:p>
            <w:pPr>
              <w:widowControl/>
              <w:jc w:val="center"/>
              <w:rPr>
                <w:rFonts w:ascii="宋体" w:hAnsi="宋体" w:eastAsia="仿宋" w:cs="宋体"/>
                <w:color w:val="000000"/>
                <w:kern w:val="0"/>
                <w:sz w:val="24"/>
                <w:szCs w:val="28"/>
              </w:rPr>
            </w:pPr>
            <w:r>
              <w:rPr>
                <w:rFonts w:hint="eastAsia" w:ascii="宋体" w:hAnsi="宋体" w:eastAsia="仿宋" w:cs="宋体"/>
                <w:color w:val="000000"/>
                <w:kern w:val="0"/>
                <w:sz w:val="24"/>
                <w:szCs w:val="28"/>
              </w:rPr>
              <w:t>（其他开发区共45个）</w:t>
            </w:r>
          </w:p>
        </w:tc>
        <w:tc>
          <w:tcPr>
            <w:tcW w:w="6550" w:type="dxa"/>
            <w:noWrap w:val="0"/>
            <w:vAlign w:val="center"/>
          </w:tcPr>
          <w:p>
            <w:pPr>
              <w:widowControl/>
              <w:rPr>
                <w:rFonts w:ascii="宋体" w:hAnsi="宋体" w:eastAsia="仿宋" w:cs="宋体"/>
                <w:color w:val="000000"/>
                <w:kern w:val="0"/>
                <w:sz w:val="24"/>
                <w:szCs w:val="28"/>
              </w:rPr>
            </w:pPr>
            <w:r>
              <w:rPr>
                <w:rFonts w:hint="eastAsia" w:ascii="宋体" w:hAnsi="宋体" w:eastAsia="仿宋" w:cs="宋体"/>
                <w:color w:val="000000"/>
                <w:kern w:val="0"/>
                <w:sz w:val="24"/>
                <w:szCs w:val="28"/>
              </w:rPr>
              <w:t>云南禄劝产业园区、云南寻甸产业园区、云南宜良产业园区、云南石林产业园区、云南东川产业园区、云南富民产业园区、云南鲁甸产业园区、云南大关产业园区、云南彝良产业园区、云南镇雄产业园区、云南陆良产业园区、云南罗平产业园区、云南会泽产业园区、云南马龙产业园区、云南富源产业园区、云南师宗产业园区、云南易门产业园区、云南通海产业园区、云南澄江产业园区、云南元江产业园区、云南华宁产业园区、云南龙陵产业园区、云南施甸产业园区、云南昌宁产业园区、云南武定产业园区、云南牟定产业园区、云南开远产业园区、云南个旧产业园区、云南建水产业园区、云南富宁产业园区、云南麻栗坡边境经济合作区、云南景谷产业园区、云南孟连边境经济合作区、云南勐海产业园区、云南洱源产业园区、云南弥渡产业园区、云南宾川产业园区、云南盈江产业园区、云南芒市产业园区、云南陇川产业园区、云南金山高新技术产业开发区、云南兰坪产业园区、云南香格里拉产业园区、云南凤庆产业园区、云南云县产业园区</w:t>
            </w:r>
          </w:p>
        </w:tc>
        <w:tc>
          <w:tcPr>
            <w:tcW w:w="1304" w:type="dxa"/>
            <w:noWrap w:val="0"/>
            <w:vAlign w:val="center"/>
          </w:tcPr>
          <w:p>
            <w:pPr>
              <w:widowControl/>
              <w:jc w:val="center"/>
              <w:rPr>
                <w:rFonts w:ascii="宋体" w:hAnsi="宋体" w:eastAsia="方正仿宋_GBK" w:cs="宋体"/>
                <w:color w:val="000000"/>
                <w:kern w:val="0"/>
                <w:sz w:val="22"/>
                <w:szCs w:val="28"/>
              </w:rPr>
            </w:pPr>
            <w:r>
              <w:rPr>
                <w:rFonts w:hint="eastAsia" w:ascii="宋体" w:hAnsi="宋体" w:eastAsia="方正仿宋_GBK" w:cs="宋体"/>
                <w:color w:val="000000"/>
                <w:kern w:val="0"/>
                <w:sz w:val="22"/>
                <w:szCs w:val="2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045" w:type="dxa"/>
            <w:gridSpan w:val="3"/>
            <w:noWrap w:val="0"/>
            <w:vAlign w:val="center"/>
          </w:tcPr>
          <w:p>
            <w:pPr>
              <w:widowControl/>
              <w:jc w:val="center"/>
              <w:rPr>
                <w:rFonts w:hint="eastAsia" w:ascii="宋体" w:hAnsi="宋体" w:eastAsia="方正仿宋_GBK" w:cs="宋体"/>
                <w:color w:val="000000"/>
                <w:kern w:val="0"/>
                <w:sz w:val="22"/>
                <w:szCs w:val="28"/>
              </w:rPr>
            </w:pPr>
            <w:r>
              <w:rPr>
                <w:rFonts w:hint="eastAsia" w:ascii="宋体" w:hAnsi="宋体" w:eastAsia="方正仿宋_GBK" w:cs="宋体"/>
                <w:color w:val="000000"/>
                <w:kern w:val="0"/>
                <w:sz w:val="24"/>
                <w:szCs w:val="28"/>
              </w:rPr>
              <w:t>备注：修正系数针对固定资产投资强度、亩均税收两项指标，其他指标不作区域修正。</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altName w:val="Arial Unicode MS"/>
    <w:panose1 w:val="02000000000000000000"/>
    <w:charset w:val="86"/>
    <w:family w:val="auto"/>
    <w:pitch w:val="default"/>
    <w:sig w:usb0="00000000" w:usb1="00000000" w:usb2="00082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2000000000000000000"/>
    <w:charset w:val="86"/>
    <w:family w:val="script"/>
    <w:pitch w:val="default"/>
    <w:sig w:usb0="00000000" w:usb1="00000000" w:usb2="00000010" w:usb3="00000000" w:csb0="00040000" w:csb1="00000000"/>
  </w:font>
  <w:font w:name="方正楷体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D104E"/>
    <w:rsid w:val="01C516A1"/>
    <w:rsid w:val="05CE62E0"/>
    <w:rsid w:val="064177AA"/>
    <w:rsid w:val="07EA30E9"/>
    <w:rsid w:val="08F66710"/>
    <w:rsid w:val="0A4B2F82"/>
    <w:rsid w:val="0A7656FA"/>
    <w:rsid w:val="0AFE4899"/>
    <w:rsid w:val="11B470B1"/>
    <w:rsid w:val="13C23B0B"/>
    <w:rsid w:val="1763307A"/>
    <w:rsid w:val="1D6051C9"/>
    <w:rsid w:val="22E846E5"/>
    <w:rsid w:val="24627D0E"/>
    <w:rsid w:val="255A40F4"/>
    <w:rsid w:val="27537CDA"/>
    <w:rsid w:val="31AE3DFF"/>
    <w:rsid w:val="33D61D32"/>
    <w:rsid w:val="4C716858"/>
    <w:rsid w:val="50AE71B1"/>
    <w:rsid w:val="52FF05BB"/>
    <w:rsid w:val="586C56F4"/>
    <w:rsid w:val="5950093A"/>
    <w:rsid w:val="613D104E"/>
    <w:rsid w:val="62963BFD"/>
    <w:rsid w:val="652C04A2"/>
    <w:rsid w:val="68F46907"/>
    <w:rsid w:val="6C1E4A4F"/>
    <w:rsid w:val="705B4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等线" w:hAnsi="等线" w:eastAsia="等线" w:cs="Times New Roman"/>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jc w:val="center"/>
    </w:pPr>
    <w:rPr>
      <w:rFonts w:eastAsia="宋体"/>
      <w:b/>
      <w:sz w:val="44"/>
    </w:rPr>
  </w:style>
  <w:style w:type="paragraph" w:styleId="4">
    <w:name w:val="toc 5"/>
    <w:basedOn w:val="1"/>
    <w:next w:val="1"/>
    <w:unhideWhenUsed/>
    <w:qFormat/>
    <w:uiPriority w:val="39"/>
    <w:pPr>
      <w:ind w:left="1680" w:leftChars="800"/>
    </w:pPr>
  </w:style>
  <w:style w:type="paragraph" w:styleId="7">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2023-05-04T09:36:00Z</dcterms:created>
  <dc:creator>微信用户</dc:creator>
  <cp:lastModifiedBy>微信用户</cp:lastModifiedBy>
  <dcterms:modified xsi:type="dcterms:W3CDTF">2023-05-04T09:37:27Z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