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2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234"/>
        <w:gridCol w:w="1505"/>
        <w:gridCol w:w="1281"/>
        <w:gridCol w:w="1703"/>
        <w:gridCol w:w="844"/>
        <w:gridCol w:w="19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98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梁河县环境保护局拟审批建设项目环评信息公开表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梁河县生物质颗粒燃料厂建设项目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梁河县曩宋乡芒林村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梁河县众源新能源开发有限责任公司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环评文件类型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报告表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环境影响评价机构</w:t>
            </w:r>
          </w:p>
        </w:tc>
        <w:tc>
          <w:tcPr>
            <w:tcW w:w="44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云南保兴环境科技咨询有限公司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项目概况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ind w:firstLine="420" w:firstLineChars="20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梁河县生物质颗粒燃烧厂建设项目位于梁河县囊宋乡芒林村，中心地理坐标为：北纬98°21′16″、东经24°52′2″。项目总用地面积3300平方米，绿化面积30平方米，总建筑面积3000平方米。项目建设内容主要分为主体工程、辅助工程、公用基础工程、环保工程。其中主体工程包括成型燃料生产车间（建筑面积800平方米，一层钢架结构）；辅助工程包括原料大棚（建筑面积700平方米）、成品库（建筑面积800平方米）、原料大棚辅料及包装材料库（建筑面积600平方米）；公用工程包括给排水工程、供电工程；环保工程包括集气罩、布袋除尘器、排气筒、雨污分流排水系统、减震垫、垃圾桶、绿化等。项目建设规模年产物质颗粒燃料2万吨。项目主要生产工艺为原料→切片→粉碎→筛分→干燥制粒→冷却→包装。项目总投资2000万元，其中环保投资24万元，占总投资的1.2%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项目主要环境影响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8"/>
              <w:tblW w:w="8522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0"/>
              <w:gridCol w:w="409"/>
              <w:gridCol w:w="71"/>
              <w:gridCol w:w="1017"/>
              <w:gridCol w:w="1390"/>
              <w:gridCol w:w="1435"/>
              <w:gridCol w:w="941"/>
              <w:gridCol w:w="1417"/>
              <w:gridCol w:w="9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0" w:type="dxa"/>
                  <w:vMerge w:val="restart"/>
                  <w:tcBorders>
                    <w:tl2br w:val="single" w:color="auto" w:sz="2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 xml:space="preserve"> 内容</w:t>
                  </w: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类型</w:t>
                  </w:r>
                </w:p>
              </w:tc>
              <w:tc>
                <w:tcPr>
                  <w:tcW w:w="1497" w:type="dxa"/>
                  <w:gridSpan w:val="3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排放源</w:t>
                  </w: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390" w:type="dxa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污染物</w:t>
                  </w: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名称</w:t>
                  </w:r>
                </w:p>
              </w:tc>
              <w:tc>
                <w:tcPr>
                  <w:tcW w:w="2376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处理前</w:t>
                  </w:r>
                </w:p>
              </w:tc>
              <w:tc>
                <w:tcPr>
                  <w:tcW w:w="2409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处理后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497" w:type="dxa"/>
                  <w:gridSpan w:val="3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39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435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产生浓度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（</w:t>
                  </w:r>
                  <w:r>
                    <w:rPr>
                      <w:rFonts w:hint="eastAsia"/>
                      <w:color w:val="auto"/>
                      <w:szCs w:val="24"/>
                    </w:rPr>
                    <w:t>mg/m</w:t>
                  </w:r>
                  <w:r>
                    <w:rPr>
                      <w:rFonts w:hint="eastAsia"/>
                      <w:color w:val="auto"/>
                      <w:szCs w:val="24"/>
                      <w:vertAlign w:val="superscript"/>
                    </w:rPr>
                    <w:t>3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941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产生量</w:t>
                  </w: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(t/a)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排放浓度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（</w:t>
                  </w:r>
                  <w:r>
                    <w:rPr>
                      <w:rFonts w:hint="eastAsia"/>
                      <w:color w:val="auto"/>
                      <w:szCs w:val="24"/>
                    </w:rPr>
                    <w:t>mg/m</w:t>
                  </w:r>
                  <w:r>
                    <w:rPr>
                      <w:rFonts w:hint="eastAsia"/>
                      <w:color w:val="auto"/>
                      <w:szCs w:val="24"/>
                      <w:vertAlign w:val="superscript"/>
                    </w:rPr>
                    <w:t>3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排放量</w:t>
                  </w: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（t/a）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0" w:type="dxa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kern w:val="28"/>
                      <w:sz w:val="21"/>
                      <w:szCs w:val="21"/>
                    </w:rPr>
                  </w:pPr>
                  <w:r>
                    <w:rPr>
                      <w:color w:val="auto"/>
                      <w:kern w:val="28"/>
                      <w:sz w:val="21"/>
                      <w:szCs w:val="21"/>
                    </w:rPr>
                    <w:t>大</w:t>
                  </w: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kern w:val="28"/>
                      <w:sz w:val="21"/>
                      <w:szCs w:val="21"/>
                    </w:rPr>
                  </w:pPr>
                  <w:r>
                    <w:rPr>
                      <w:color w:val="auto"/>
                      <w:kern w:val="28"/>
                      <w:sz w:val="21"/>
                      <w:szCs w:val="21"/>
                    </w:rPr>
                    <w:t>气</w:t>
                  </w: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kern w:val="28"/>
                      <w:sz w:val="21"/>
                      <w:szCs w:val="21"/>
                    </w:rPr>
                  </w:pPr>
                  <w:r>
                    <w:rPr>
                      <w:color w:val="auto"/>
                      <w:kern w:val="28"/>
                      <w:sz w:val="21"/>
                      <w:szCs w:val="21"/>
                    </w:rPr>
                    <w:t>污</w:t>
                  </w: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kern w:val="28"/>
                      <w:sz w:val="21"/>
                      <w:szCs w:val="21"/>
                    </w:rPr>
                  </w:pPr>
                  <w:r>
                    <w:rPr>
                      <w:color w:val="auto"/>
                      <w:kern w:val="28"/>
                      <w:sz w:val="21"/>
                      <w:szCs w:val="21"/>
                    </w:rPr>
                    <w:t>染</w:t>
                  </w: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kern w:val="28"/>
                      <w:sz w:val="21"/>
                      <w:szCs w:val="21"/>
                    </w:rPr>
                    <w:t>物</w:t>
                  </w:r>
                </w:p>
              </w:tc>
              <w:tc>
                <w:tcPr>
                  <w:tcW w:w="409" w:type="dxa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施工期</w:t>
                  </w:r>
                </w:p>
              </w:tc>
              <w:tc>
                <w:tcPr>
                  <w:tcW w:w="1088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土方开挖、材料装卸运输、堆放等</w:t>
                  </w:r>
                </w:p>
              </w:tc>
              <w:tc>
                <w:tcPr>
                  <w:tcW w:w="1390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扬尘</w:t>
                  </w:r>
                </w:p>
              </w:tc>
              <w:tc>
                <w:tcPr>
                  <w:tcW w:w="1435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—</w:t>
                  </w:r>
                </w:p>
              </w:tc>
              <w:tc>
                <w:tcPr>
                  <w:tcW w:w="941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少量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—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少量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kern w:val="28"/>
                      <w:sz w:val="21"/>
                      <w:szCs w:val="21"/>
                    </w:rPr>
                  </w:pPr>
                </w:p>
              </w:tc>
              <w:tc>
                <w:tcPr>
                  <w:tcW w:w="409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088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施工机械废气和运输车辆尾气</w:t>
                  </w:r>
                </w:p>
              </w:tc>
              <w:tc>
                <w:tcPr>
                  <w:tcW w:w="1390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废气</w:t>
                  </w:r>
                </w:p>
              </w:tc>
              <w:tc>
                <w:tcPr>
                  <w:tcW w:w="1435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—</w:t>
                  </w:r>
                </w:p>
              </w:tc>
              <w:tc>
                <w:tcPr>
                  <w:tcW w:w="941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少量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—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少量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1" w:hRule="atLeast"/>
                <w:jc w:val="center"/>
              </w:trPr>
              <w:tc>
                <w:tcPr>
                  <w:tcW w:w="85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09" w:type="dxa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营运</w:t>
                  </w:r>
                  <w:r>
                    <w:rPr>
                      <w:color w:val="auto"/>
                      <w:sz w:val="21"/>
                      <w:szCs w:val="21"/>
                    </w:rPr>
                    <w:t>期</w:t>
                  </w:r>
                </w:p>
              </w:tc>
              <w:tc>
                <w:tcPr>
                  <w:tcW w:w="1088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切片</w:t>
                  </w:r>
                </w:p>
              </w:tc>
              <w:tc>
                <w:tcPr>
                  <w:tcW w:w="1390" w:type="dxa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bookmarkStart w:id="0" w:name="OLE_LINK9"/>
                  <w:bookmarkStart w:id="1" w:name="OLE_LINK8"/>
                  <w:r>
                    <w:rPr>
                      <w:color w:val="auto"/>
                      <w:sz w:val="21"/>
                      <w:szCs w:val="21"/>
                    </w:rPr>
                    <w:t>粉尘</w:t>
                  </w:r>
                </w:p>
                <w:bookmarkEnd w:id="0"/>
                <w:bookmarkEnd w:id="1"/>
              </w:tc>
              <w:tc>
                <w:tcPr>
                  <w:tcW w:w="1435" w:type="dxa"/>
                  <w:vAlign w:val="top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</w:rPr>
                  </w:pP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208.5</w:t>
                  </w:r>
                </w:p>
              </w:tc>
              <w:tc>
                <w:tcPr>
                  <w:tcW w:w="941" w:type="dxa"/>
                  <w:vAlign w:val="top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</w:rPr>
                  </w:pP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2.2</w:t>
                  </w:r>
                </w:p>
              </w:tc>
              <w:tc>
                <w:tcPr>
                  <w:tcW w:w="1417" w:type="dxa"/>
                  <w:vAlign w:val="top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</w:rPr>
                  </w:pP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val="en-US" w:eastAsia="zh-CN"/>
                    </w:rPr>
                    <w:t>6.255</w:t>
                  </w:r>
                </w:p>
              </w:tc>
              <w:tc>
                <w:tcPr>
                  <w:tcW w:w="992" w:type="dxa"/>
                  <w:vAlign w:val="top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</w:rPr>
                  </w:pP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val="en-US" w:eastAsia="zh-CN"/>
                    </w:rPr>
                    <w:t>0.066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1" w:hRule="atLeast"/>
                <w:jc w:val="center"/>
              </w:trPr>
              <w:tc>
                <w:tcPr>
                  <w:tcW w:w="85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409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088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破碎</w:t>
                  </w:r>
                </w:p>
              </w:tc>
              <w:tc>
                <w:tcPr>
                  <w:tcW w:w="139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435" w:type="dxa"/>
                  <w:vAlign w:val="top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208.5</w:t>
                  </w:r>
                </w:p>
              </w:tc>
              <w:tc>
                <w:tcPr>
                  <w:tcW w:w="941" w:type="dxa"/>
                  <w:vAlign w:val="top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2.2</w:t>
                  </w:r>
                </w:p>
              </w:tc>
              <w:tc>
                <w:tcPr>
                  <w:tcW w:w="1417" w:type="dxa"/>
                  <w:vAlign w:val="top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val="en-US" w:eastAsia="zh-CN"/>
                    </w:rPr>
                    <w:t>6.255</w:t>
                  </w:r>
                </w:p>
              </w:tc>
              <w:tc>
                <w:tcPr>
                  <w:tcW w:w="992" w:type="dxa"/>
                  <w:vAlign w:val="top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val="en-US" w:eastAsia="zh-CN"/>
                    </w:rPr>
                    <w:t>0.066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1" w:hRule="atLeast"/>
                <w:jc w:val="center"/>
              </w:trPr>
              <w:tc>
                <w:tcPr>
                  <w:tcW w:w="85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09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088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筛分</w:t>
                  </w:r>
                </w:p>
              </w:tc>
              <w:tc>
                <w:tcPr>
                  <w:tcW w:w="139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435" w:type="dxa"/>
                  <w:vAlign w:val="top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1041.75</w:t>
                  </w:r>
                </w:p>
              </w:tc>
              <w:tc>
                <w:tcPr>
                  <w:tcW w:w="941" w:type="dxa"/>
                  <w:vAlign w:val="top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1417" w:type="dxa"/>
                  <w:vAlign w:val="top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</w:rPr>
                  </w:pP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val="en-US" w:eastAsia="zh-CN"/>
                    </w:rPr>
                    <w:t>31.253</w:t>
                  </w:r>
                </w:p>
              </w:tc>
              <w:tc>
                <w:tcPr>
                  <w:tcW w:w="992" w:type="dxa"/>
                  <w:vAlign w:val="top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</w:rPr>
                  </w:pP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val="en-US" w:eastAsia="zh-CN"/>
                    </w:rPr>
                    <w:t>0.33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" w:hRule="atLeast"/>
                <w:jc w:val="center"/>
              </w:trPr>
              <w:tc>
                <w:tcPr>
                  <w:tcW w:w="85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09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088" w:type="dxa"/>
                  <w:gridSpan w:val="2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燃料炉</w:t>
                  </w:r>
                </w:p>
              </w:tc>
              <w:tc>
                <w:tcPr>
                  <w:tcW w:w="1390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烟尘</w:t>
                  </w:r>
                </w:p>
              </w:tc>
              <w:tc>
                <w:tcPr>
                  <w:tcW w:w="1435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6025.37</w:t>
                  </w:r>
                </w:p>
              </w:tc>
              <w:tc>
                <w:tcPr>
                  <w:tcW w:w="941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.16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val="en-US" w:eastAsia="zh-CN"/>
                    </w:rPr>
                    <w:t>180.76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val="en-US" w:eastAsia="zh-CN"/>
                    </w:rPr>
                    <w:t>1.8048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" w:hRule="atLeast"/>
                <w:jc w:val="center"/>
              </w:trPr>
              <w:tc>
                <w:tcPr>
                  <w:tcW w:w="85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409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088" w:type="dxa"/>
                  <w:gridSpan w:val="2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>
                  <w:pPr>
                    <w:widowControl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kern w:val="0"/>
                      <w:sz w:val="21"/>
                      <w:szCs w:val="21"/>
                    </w:rPr>
                    <w:t>SO</w:t>
                  </w:r>
                  <w:r>
                    <w:rPr>
                      <w:color w:val="auto"/>
                      <w:kern w:val="0"/>
                      <w:sz w:val="21"/>
                      <w:szCs w:val="21"/>
                      <w:vertAlign w:val="subscript"/>
                    </w:rPr>
                    <w:t>2</w:t>
                  </w:r>
                </w:p>
              </w:tc>
              <w:tc>
                <w:tcPr>
                  <w:tcW w:w="143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 w:eastAsia="宋体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val="en-US" w:eastAsia="zh-CN"/>
                    </w:rPr>
                    <w:t>109.29</w:t>
                  </w:r>
                </w:p>
              </w:tc>
              <w:tc>
                <w:tcPr>
                  <w:tcW w:w="94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1.9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109.29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1.9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" w:hRule="atLeast"/>
                <w:jc w:val="center"/>
              </w:trPr>
              <w:tc>
                <w:tcPr>
                  <w:tcW w:w="85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09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088" w:type="dxa"/>
                  <w:gridSpan w:val="2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>
                  <w:pPr>
                    <w:widowControl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kern w:val="0"/>
                      <w:sz w:val="21"/>
                      <w:szCs w:val="21"/>
                    </w:rPr>
                    <w:t>NO</w:t>
                  </w:r>
                  <w:r>
                    <w:rPr>
                      <w:color w:val="auto"/>
                      <w:kern w:val="0"/>
                      <w:sz w:val="21"/>
                      <w:szCs w:val="21"/>
                      <w:vertAlign w:val="subscript"/>
                    </w:rPr>
                    <w:t>X</w:t>
                  </w:r>
                </w:p>
              </w:tc>
              <w:tc>
                <w:tcPr>
                  <w:tcW w:w="143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 w:eastAsia="宋体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val="en-US" w:eastAsia="zh-CN"/>
                    </w:rPr>
                    <w:t>160.25</w:t>
                  </w:r>
                </w:p>
              </w:tc>
              <w:tc>
                <w:tcPr>
                  <w:tcW w:w="94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kern w:val="0"/>
                      <w:sz w:val="21"/>
                      <w:szCs w:val="21"/>
                    </w:rPr>
                    <w:t>1.63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kern w:val="0"/>
                      <w:sz w:val="21"/>
                      <w:szCs w:val="21"/>
                    </w:rPr>
                    <w:t>160.25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1.63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2" w:hRule="atLeast"/>
                <w:jc w:val="center"/>
              </w:trPr>
              <w:tc>
                <w:tcPr>
                  <w:tcW w:w="850" w:type="dxa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水污染物</w:t>
                  </w:r>
                </w:p>
              </w:tc>
              <w:tc>
                <w:tcPr>
                  <w:tcW w:w="409" w:type="dxa"/>
                  <w:vMerge w:val="restart"/>
                  <w:vAlign w:val="center"/>
                </w:tcPr>
                <w:p>
                  <w:pPr>
                    <w:pStyle w:val="6"/>
                    <w:widowControl w:val="0"/>
                    <w:adjustRightInd w:val="0"/>
                    <w:snapToGrid w:val="0"/>
                    <w:spacing w:before="0" w:beforeAutospacing="0" w:after="0" w:afterAutospacing="0"/>
                    <w:ind w:firstLine="0" w:firstLineChars="0"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kern w:val="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auto"/>
                      <w:kern w:val="2"/>
                      <w:sz w:val="21"/>
                      <w:szCs w:val="21"/>
                    </w:rPr>
                    <w:t>施工期</w:t>
                  </w:r>
                  <w:r>
                    <w:rPr>
                      <w:rFonts w:hint="eastAsia"/>
                      <w:color w:val="auto"/>
                    </w:rPr>
                    <w:t>（3个月）</w:t>
                  </w:r>
                </w:p>
              </w:tc>
              <w:tc>
                <w:tcPr>
                  <w:tcW w:w="1088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bCs/>
                      <w:color w:val="auto"/>
                      <w:sz w:val="21"/>
                      <w:szCs w:val="21"/>
                    </w:rPr>
                    <w:t>施工人员</w:t>
                  </w:r>
                </w:p>
              </w:tc>
              <w:tc>
                <w:tcPr>
                  <w:tcW w:w="1390" w:type="dxa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SS</w:t>
                  </w:r>
                </w:p>
              </w:tc>
              <w:tc>
                <w:tcPr>
                  <w:tcW w:w="1435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—</w:t>
                  </w:r>
                </w:p>
              </w:tc>
              <w:tc>
                <w:tcPr>
                  <w:tcW w:w="941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kern w:val="0"/>
                      <w:szCs w:val="24"/>
                    </w:rPr>
                    <w:t>7.2</w:t>
                  </w:r>
                  <w:r>
                    <w:rPr>
                      <w:color w:val="auto"/>
                      <w:kern w:val="0"/>
                      <w:szCs w:val="24"/>
                    </w:rPr>
                    <w:t>m</w:t>
                  </w:r>
                  <w:r>
                    <w:rPr>
                      <w:color w:val="auto"/>
                      <w:kern w:val="0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2409" w:type="dxa"/>
                  <w:gridSpan w:val="2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kern w:val="0"/>
                      <w:sz w:val="21"/>
                      <w:szCs w:val="21"/>
                    </w:rPr>
                    <w:t>沉淀处理后回用于洒水降尘、混凝土养护、设备冲洗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2" w:hRule="atLeast"/>
                <w:jc w:val="center"/>
              </w:trPr>
              <w:tc>
                <w:tcPr>
                  <w:tcW w:w="85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09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088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bCs/>
                      <w:color w:val="auto"/>
                      <w:sz w:val="21"/>
                      <w:szCs w:val="21"/>
                    </w:rPr>
                    <w:t>设备冲洗水</w:t>
                  </w:r>
                </w:p>
              </w:tc>
              <w:tc>
                <w:tcPr>
                  <w:tcW w:w="139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435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—</w:t>
                  </w:r>
                </w:p>
              </w:tc>
              <w:tc>
                <w:tcPr>
                  <w:tcW w:w="941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72m³</w:t>
                  </w:r>
                </w:p>
              </w:tc>
              <w:tc>
                <w:tcPr>
                  <w:tcW w:w="2409" w:type="dxa"/>
                  <w:gridSpan w:val="2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2" w:hRule="atLeast"/>
                <w:jc w:val="center"/>
              </w:trPr>
              <w:tc>
                <w:tcPr>
                  <w:tcW w:w="85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09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088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bCs/>
                      <w:color w:val="auto"/>
                      <w:sz w:val="21"/>
                      <w:szCs w:val="21"/>
                    </w:rPr>
                    <w:t>施工废水</w:t>
                  </w:r>
                </w:p>
              </w:tc>
              <w:tc>
                <w:tcPr>
                  <w:tcW w:w="139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435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—</w:t>
                  </w:r>
                </w:p>
              </w:tc>
              <w:tc>
                <w:tcPr>
                  <w:tcW w:w="941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48.8</w:t>
                  </w:r>
                </w:p>
              </w:tc>
              <w:tc>
                <w:tcPr>
                  <w:tcW w:w="2409" w:type="dxa"/>
                  <w:gridSpan w:val="2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2" w:hRule="atLeast"/>
                <w:jc w:val="center"/>
              </w:trPr>
              <w:tc>
                <w:tcPr>
                  <w:tcW w:w="85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09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营运期</w:t>
                  </w:r>
                </w:p>
              </w:tc>
              <w:tc>
                <w:tcPr>
                  <w:tcW w:w="1088" w:type="dxa"/>
                  <w:gridSpan w:val="2"/>
                  <w:vAlign w:val="center"/>
                </w:tcPr>
                <w:p>
                  <w:pPr>
                    <w:pStyle w:val="6"/>
                    <w:widowControl w:val="0"/>
                    <w:adjustRightInd w:val="0"/>
                    <w:snapToGrid w:val="0"/>
                    <w:spacing w:before="0" w:beforeAutospacing="0" w:after="0" w:afterAutospacing="0"/>
                    <w:ind w:firstLine="0" w:firstLineChars="0"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kern w:val="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auto"/>
                      <w:kern w:val="2"/>
                      <w:sz w:val="21"/>
                      <w:szCs w:val="21"/>
                    </w:rPr>
                    <w:t>员工生活</w:t>
                  </w:r>
                </w:p>
              </w:tc>
              <w:tc>
                <w:tcPr>
                  <w:tcW w:w="1390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水量</w:t>
                  </w:r>
                </w:p>
              </w:tc>
              <w:tc>
                <w:tcPr>
                  <w:tcW w:w="1435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—</w:t>
                  </w:r>
                </w:p>
              </w:tc>
              <w:tc>
                <w:tcPr>
                  <w:tcW w:w="941" w:type="dxa"/>
                  <w:vAlign w:val="center"/>
                </w:tcPr>
                <w:p>
                  <w:pPr>
                    <w:pStyle w:val="6"/>
                    <w:widowControl w:val="0"/>
                    <w:adjustRightInd w:val="0"/>
                    <w:snapToGrid w:val="0"/>
                    <w:spacing w:before="0" w:beforeAutospacing="0" w:after="0" w:afterAutospacing="0"/>
                    <w:ind w:firstLine="0" w:firstLineChars="0"/>
                    <w:jc w:val="center"/>
                    <w:rPr>
                      <w:rFonts w:hint="eastAsia" w:ascii="Times New Roman" w:hAnsi="Times New Roman" w:cs="Times New Roman"/>
                      <w:color w:val="auto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kern w:val="2"/>
                      <w:sz w:val="21"/>
                      <w:szCs w:val="21"/>
                    </w:rPr>
                    <w:t>52.8</w:t>
                  </w:r>
                </w:p>
              </w:tc>
              <w:tc>
                <w:tcPr>
                  <w:tcW w:w="2409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rPr>
                      <w:rFonts w:hint="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回用于绿化、降尘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0" w:type="dxa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kern w:val="28"/>
                      <w:sz w:val="21"/>
                      <w:szCs w:val="21"/>
                    </w:rPr>
                  </w:pPr>
                  <w:r>
                    <w:rPr>
                      <w:color w:val="auto"/>
                      <w:kern w:val="28"/>
                      <w:sz w:val="21"/>
                      <w:szCs w:val="21"/>
                    </w:rPr>
                    <w:t>固</w:t>
                  </w: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kern w:val="28"/>
                      <w:sz w:val="21"/>
                      <w:szCs w:val="21"/>
                    </w:rPr>
                  </w:pPr>
                  <w:r>
                    <w:rPr>
                      <w:color w:val="auto"/>
                      <w:kern w:val="28"/>
                      <w:sz w:val="21"/>
                      <w:szCs w:val="21"/>
                    </w:rPr>
                    <w:t>体</w:t>
                  </w: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kern w:val="28"/>
                      <w:sz w:val="21"/>
                      <w:szCs w:val="21"/>
                    </w:rPr>
                  </w:pPr>
                  <w:r>
                    <w:rPr>
                      <w:color w:val="auto"/>
                      <w:kern w:val="28"/>
                      <w:sz w:val="21"/>
                      <w:szCs w:val="21"/>
                    </w:rPr>
                    <w:t>废</w:t>
                  </w: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kern w:val="28"/>
                      <w:sz w:val="21"/>
                      <w:szCs w:val="21"/>
                    </w:rPr>
                    <w:t>物</w:t>
                  </w:r>
                </w:p>
              </w:tc>
              <w:tc>
                <w:tcPr>
                  <w:tcW w:w="1497" w:type="dxa"/>
                  <w:gridSpan w:val="3"/>
                  <w:vMerge w:val="restart"/>
                  <w:vAlign w:val="center"/>
                </w:tcPr>
                <w:p>
                  <w:pPr>
                    <w:pStyle w:val="6"/>
                    <w:widowControl w:val="0"/>
                    <w:adjustRightInd w:val="0"/>
                    <w:snapToGrid w:val="0"/>
                    <w:spacing w:before="0" w:beforeAutospacing="0" w:after="0" w:afterAutospacing="0"/>
                    <w:ind w:firstLine="0" w:firstLineChars="0"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kern w:val="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auto"/>
                      <w:kern w:val="2"/>
                      <w:sz w:val="21"/>
                      <w:szCs w:val="21"/>
                    </w:rPr>
                    <w:t>施工期</w:t>
                  </w:r>
                </w:p>
              </w:tc>
              <w:tc>
                <w:tcPr>
                  <w:tcW w:w="1390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建筑垃圾</w:t>
                  </w:r>
                </w:p>
              </w:tc>
              <w:tc>
                <w:tcPr>
                  <w:tcW w:w="1435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—</w:t>
                  </w:r>
                </w:p>
              </w:tc>
              <w:tc>
                <w:tcPr>
                  <w:tcW w:w="941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 w:eastAsia="宋体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val="en-US" w:eastAsia="zh-CN"/>
                    </w:rPr>
                    <w:t>8</w:t>
                  </w:r>
                </w:p>
              </w:tc>
              <w:tc>
                <w:tcPr>
                  <w:tcW w:w="2409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可回收部分出售给废物回收站，不可回收部分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运至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行政主管部门指定地点处理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497" w:type="dxa"/>
                  <w:gridSpan w:val="3"/>
                  <w:vMerge w:val="continue"/>
                  <w:vAlign w:val="center"/>
                </w:tcPr>
                <w:p>
                  <w:pPr>
                    <w:pStyle w:val="6"/>
                    <w:widowControl w:val="0"/>
                    <w:adjustRightInd w:val="0"/>
                    <w:snapToGrid w:val="0"/>
                    <w:spacing w:before="0" w:beforeAutospacing="0" w:after="0" w:afterAutospacing="0"/>
                    <w:ind w:firstLine="0" w:firstLineChars="0"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设备包装及装修废边角料</w:t>
                  </w:r>
                </w:p>
              </w:tc>
              <w:tc>
                <w:tcPr>
                  <w:tcW w:w="2376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—</w:t>
                  </w:r>
                </w:p>
              </w:tc>
              <w:tc>
                <w:tcPr>
                  <w:tcW w:w="2409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可回收部分出售给废物回收站，不可回收部分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运至乡镇垃圾场处理。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kern w:val="28"/>
                      <w:sz w:val="21"/>
                      <w:szCs w:val="21"/>
                    </w:rPr>
                  </w:pPr>
                </w:p>
              </w:tc>
              <w:tc>
                <w:tcPr>
                  <w:tcW w:w="1497" w:type="dxa"/>
                  <w:gridSpan w:val="3"/>
                  <w:vMerge w:val="continue"/>
                  <w:vAlign w:val="center"/>
                </w:tcPr>
                <w:p>
                  <w:pPr>
                    <w:pStyle w:val="6"/>
                    <w:widowControl w:val="0"/>
                    <w:adjustRightInd w:val="0"/>
                    <w:snapToGrid w:val="0"/>
                    <w:spacing w:before="0" w:beforeAutospacing="0" w:after="0" w:afterAutospacing="0"/>
                    <w:ind w:firstLine="0" w:firstLineChars="0"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生活垃圾</w:t>
                  </w:r>
                </w:p>
              </w:tc>
              <w:tc>
                <w:tcPr>
                  <w:tcW w:w="1435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—</w:t>
                  </w:r>
                </w:p>
              </w:tc>
              <w:tc>
                <w:tcPr>
                  <w:tcW w:w="941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0.315</w:t>
                  </w:r>
                </w:p>
              </w:tc>
              <w:tc>
                <w:tcPr>
                  <w:tcW w:w="2409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运至乡镇垃圾场处理。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80" w:type="dxa"/>
                  <w:gridSpan w:val="2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营运期</w:t>
                  </w:r>
                </w:p>
              </w:tc>
              <w:tc>
                <w:tcPr>
                  <w:tcW w:w="1017" w:type="dxa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生产车间</w:t>
                  </w:r>
                </w:p>
              </w:tc>
              <w:tc>
                <w:tcPr>
                  <w:tcW w:w="1390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破碎工序不合格</w:t>
                  </w:r>
                  <w:r>
                    <w:rPr>
                      <w:color w:val="auto"/>
                      <w:sz w:val="21"/>
                      <w:szCs w:val="21"/>
                    </w:rPr>
                    <w:t>原材料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及边角料</w:t>
                  </w:r>
                </w:p>
              </w:tc>
              <w:tc>
                <w:tcPr>
                  <w:tcW w:w="2376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少量</w:t>
                  </w:r>
                </w:p>
              </w:tc>
              <w:tc>
                <w:tcPr>
                  <w:tcW w:w="2409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不合格</w:t>
                  </w:r>
                  <w:r>
                    <w:rPr>
                      <w:color w:val="auto"/>
                      <w:sz w:val="21"/>
                      <w:szCs w:val="21"/>
                    </w:rPr>
                    <w:t>原材料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回用做燃烧炉燃料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；边角料回用作燃烧炉燃料。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80" w:type="dxa"/>
                  <w:gridSpan w:val="2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燃烧炉灰渣</w:t>
                  </w:r>
                </w:p>
              </w:tc>
              <w:tc>
                <w:tcPr>
                  <w:tcW w:w="2376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少量</w:t>
                  </w:r>
                </w:p>
              </w:tc>
              <w:tc>
                <w:tcPr>
                  <w:tcW w:w="2409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用于还田、施肥。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80" w:type="dxa"/>
                  <w:gridSpan w:val="2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包装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废料</w:t>
                  </w:r>
                </w:p>
              </w:tc>
              <w:tc>
                <w:tcPr>
                  <w:tcW w:w="2376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—</w:t>
                  </w:r>
                </w:p>
              </w:tc>
              <w:tc>
                <w:tcPr>
                  <w:tcW w:w="2409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可回收部分出售给废物回收站，不可回收部分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运至乡镇垃圾场处理。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85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kern w:val="28"/>
                      <w:sz w:val="21"/>
                      <w:szCs w:val="21"/>
                    </w:rPr>
                  </w:pPr>
                </w:p>
              </w:tc>
              <w:tc>
                <w:tcPr>
                  <w:tcW w:w="480" w:type="dxa"/>
                  <w:gridSpan w:val="2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017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生活垃圾</w:t>
                  </w:r>
                </w:p>
              </w:tc>
              <w:tc>
                <w:tcPr>
                  <w:tcW w:w="2376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1.98t/a</w:t>
                  </w:r>
                </w:p>
              </w:tc>
              <w:tc>
                <w:tcPr>
                  <w:tcW w:w="2409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运至乡镇垃圾场处理。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  <w:jc w:val="center"/>
              </w:trPr>
              <w:tc>
                <w:tcPr>
                  <w:tcW w:w="850" w:type="dxa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kern w:val="28"/>
                      <w:sz w:val="21"/>
                      <w:szCs w:val="21"/>
                    </w:rPr>
                  </w:pPr>
                  <w:r>
                    <w:rPr>
                      <w:color w:val="auto"/>
                      <w:kern w:val="28"/>
                      <w:sz w:val="21"/>
                      <w:szCs w:val="21"/>
                    </w:rPr>
                    <w:t>噪</w:t>
                  </w:r>
                </w:p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kern w:val="28"/>
                      <w:sz w:val="21"/>
                      <w:szCs w:val="21"/>
                    </w:rPr>
                    <w:t>声</w:t>
                  </w:r>
                </w:p>
              </w:tc>
              <w:tc>
                <w:tcPr>
                  <w:tcW w:w="480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施工期</w:t>
                  </w:r>
                </w:p>
              </w:tc>
              <w:tc>
                <w:tcPr>
                  <w:tcW w:w="2407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施工机械、运输车辆、施工活动等</w:t>
                  </w:r>
                </w:p>
              </w:tc>
              <w:tc>
                <w:tcPr>
                  <w:tcW w:w="2376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color w:val="auto"/>
                      <w:sz w:val="21"/>
                      <w:szCs w:val="21"/>
                    </w:rPr>
                    <w:t>5～110dB(A)</w:t>
                  </w:r>
                </w:p>
              </w:tc>
              <w:tc>
                <w:tcPr>
                  <w:tcW w:w="2409" w:type="dxa"/>
                  <w:gridSpan w:val="2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满足《建筑施工场界环境噪声排放标准》（GB12523-2011）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84" w:hRule="atLeast"/>
                <w:jc w:val="center"/>
              </w:trPr>
              <w:tc>
                <w:tcPr>
                  <w:tcW w:w="85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80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营运期</w:t>
                  </w:r>
                </w:p>
              </w:tc>
              <w:tc>
                <w:tcPr>
                  <w:tcW w:w="2407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破碎机、烘干机、风机、颗粒机、除尘器等</w:t>
                  </w:r>
                </w:p>
              </w:tc>
              <w:tc>
                <w:tcPr>
                  <w:tcW w:w="2376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val="en-US" w:eastAsia="zh-CN"/>
                    </w:rPr>
                    <w:t>80</w:t>
                  </w:r>
                  <w:r>
                    <w:rPr>
                      <w:color w:val="auto"/>
                      <w:sz w:val="21"/>
                      <w:szCs w:val="21"/>
                    </w:rPr>
                    <w:t>~90dB(A)</w:t>
                  </w:r>
                </w:p>
              </w:tc>
              <w:tc>
                <w:tcPr>
                  <w:tcW w:w="2409" w:type="dxa"/>
                  <w:gridSpan w:val="2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厂界：昼间≤6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color w:val="auto"/>
                      <w:sz w:val="21"/>
                      <w:szCs w:val="21"/>
                    </w:rPr>
                    <w:t>dB(A) ，</w:t>
                  </w:r>
                </w:p>
                <w:p>
                  <w:pPr>
                    <w:widowControl/>
                    <w:adjustRightInd w:val="0"/>
                    <w:snapToGrid w:val="0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 xml:space="preserve">   </w:t>
                  </w:r>
                  <w:r>
                    <w:rPr>
                      <w:color w:val="auto"/>
                      <w:sz w:val="21"/>
                      <w:szCs w:val="21"/>
                    </w:rPr>
                    <w:t>夜间≤5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color w:val="auto"/>
                      <w:sz w:val="21"/>
                      <w:szCs w:val="21"/>
                    </w:rPr>
                    <w:t>dB(A)</w:t>
                  </w:r>
                </w:p>
              </w:tc>
            </w:tr>
          </w:tbl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项目预防及减轻不良环境影响的对策和措施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8"/>
              <w:tblW w:w="8522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4"/>
              <w:gridCol w:w="404"/>
              <w:gridCol w:w="910"/>
              <w:gridCol w:w="1290"/>
              <w:gridCol w:w="2296"/>
              <w:gridCol w:w="26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24" w:type="dxa"/>
                  <w:tcBorders>
                    <w:tl2br w:val="single" w:color="auto" w:sz="6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 xml:space="preserve"> 内容</w:t>
                  </w:r>
                </w:p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类型</w:t>
                  </w:r>
                </w:p>
              </w:tc>
              <w:tc>
                <w:tcPr>
                  <w:tcW w:w="1314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排放源</w:t>
                  </w:r>
                </w:p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(编号)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污染物名称</w:t>
                  </w:r>
                </w:p>
              </w:tc>
              <w:tc>
                <w:tcPr>
                  <w:tcW w:w="2296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防治措施</w:t>
                  </w:r>
                </w:p>
              </w:tc>
              <w:tc>
                <w:tcPr>
                  <w:tcW w:w="2698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预期治理效果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24" w:type="dxa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bCs/>
                      <w:color w:val="auto"/>
                      <w:sz w:val="21"/>
                      <w:szCs w:val="21"/>
                    </w:rPr>
                    <w:t>大</w:t>
                  </w:r>
                </w:p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bCs/>
                      <w:color w:val="auto"/>
                      <w:sz w:val="21"/>
                      <w:szCs w:val="21"/>
                    </w:rPr>
                    <w:t>气</w:t>
                  </w:r>
                </w:p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bCs/>
                      <w:color w:val="auto"/>
                      <w:sz w:val="21"/>
                      <w:szCs w:val="21"/>
                    </w:rPr>
                    <w:t>污</w:t>
                  </w:r>
                </w:p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bCs/>
                      <w:color w:val="auto"/>
                      <w:sz w:val="21"/>
                      <w:szCs w:val="21"/>
                    </w:rPr>
                    <w:t>染</w:t>
                  </w:r>
                </w:p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bCs/>
                      <w:color w:val="auto"/>
                      <w:sz w:val="21"/>
                      <w:szCs w:val="21"/>
                    </w:rPr>
                    <w:t>物</w:t>
                  </w:r>
                </w:p>
                <w:p>
                  <w:pPr>
                    <w:pStyle w:val="6"/>
                    <w:widowControl w:val="0"/>
                    <w:adjustRightInd w:val="0"/>
                    <w:snapToGrid w:val="0"/>
                    <w:spacing w:before="0" w:beforeAutospacing="0" w:after="0" w:afterAutospacing="0" w:line="240" w:lineRule="auto"/>
                    <w:ind w:firstLine="0" w:firstLineChars="0"/>
                    <w:jc w:val="center"/>
                    <w:rPr>
                      <w:rFonts w:ascii="Times New Roman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04" w:type="dxa"/>
                  <w:vMerge w:val="restart"/>
                  <w:vAlign w:val="center"/>
                </w:tcPr>
                <w:p>
                  <w:pPr>
                    <w:pStyle w:val="6"/>
                    <w:widowControl w:val="0"/>
                    <w:adjustRightInd w:val="0"/>
                    <w:snapToGrid w:val="0"/>
                    <w:spacing w:before="0" w:beforeAutospacing="0" w:after="0" w:afterAutospacing="0" w:line="240" w:lineRule="auto"/>
                    <w:ind w:firstLine="0" w:firstLineChars="0"/>
                    <w:jc w:val="center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1"/>
                    </w:rPr>
                    <w:t>施工期</w:t>
                  </w:r>
                </w:p>
              </w:tc>
              <w:tc>
                <w:tcPr>
                  <w:tcW w:w="910" w:type="dxa"/>
                  <w:vAlign w:val="center"/>
                </w:tcPr>
                <w:p>
                  <w:pPr>
                    <w:pStyle w:val="6"/>
                    <w:widowControl w:val="0"/>
                    <w:adjustRightInd w:val="0"/>
                    <w:snapToGrid w:val="0"/>
                    <w:spacing w:before="0" w:beforeAutospacing="0" w:after="0" w:afterAutospacing="0" w:line="240" w:lineRule="auto"/>
                    <w:ind w:firstLine="0" w:firstLineChars="0"/>
                    <w:jc w:val="center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1"/>
                    </w:rPr>
                    <w:t>土方开挖、材料装卸运输、堆放等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扬尘</w:t>
                  </w:r>
                </w:p>
              </w:tc>
              <w:tc>
                <w:tcPr>
                  <w:tcW w:w="2296" w:type="dxa"/>
                  <w:vAlign w:val="center"/>
                </w:tcPr>
                <w:p>
                  <w:pPr>
                    <w:spacing w:line="240" w:lineRule="auto"/>
                    <w:ind w:left="2" w:firstLine="0" w:firstLineChars="0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①施工边界设置围挡；</w:t>
                  </w:r>
                </w:p>
                <w:p>
                  <w:pPr>
                    <w:spacing w:line="240" w:lineRule="auto"/>
                    <w:ind w:left="2" w:firstLine="0" w:firstLineChars="0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②运输车辆加盖篷布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color w:val="auto"/>
                      <w:sz w:val="21"/>
                      <w:szCs w:val="21"/>
                    </w:rPr>
                    <w:t>③施工现场与施工道路洒水抑尘；</w:t>
                  </w:r>
                </w:p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698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  <w:highlight w:val="none"/>
                    </w:rPr>
                    <w:t>《大气污染物综合排放标准》（GB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16297</w:t>
                  </w:r>
                  <w:r>
                    <w:rPr>
                      <w:color w:val="auto"/>
                      <w:sz w:val="21"/>
                      <w:szCs w:val="21"/>
                      <w:highlight w:val="none"/>
                    </w:rPr>
                    <w:t>－1996）二级标准，对周围环境影响较小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24" w:type="dxa"/>
                  <w:vMerge w:val="continue"/>
                  <w:vAlign w:val="center"/>
                </w:tcPr>
                <w:p>
                  <w:pPr>
                    <w:pStyle w:val="6"/>
                    <w:widowControl w:val="0"/>
                    <w:adjustRightInd w:val="0"/>
                    <w:snapToGrid w:val="0"/>
                    <w:spacing w:before="0" w:beforeAutospacing="0" w:after="0" w:afterAutospacing="0" w:line="240" w:lineRule="auto"/>
                    <w:ind w:firstLine="0" w:firstLineChars="0"/>
                    <w:jc w:val="center"/>
                    <w:rPr>
                      <w:rFonts w:ascii="Times New Roman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04" w:type="dxa"/>
                  <w:vMerge w:val="continue"/>
                  <w:vAlign w:val="center"/>
                </w:tcPr>
                <w:p>
                  <w:pPr>
                    <w:pStyle w:val="6"/>
                    <w:widowControl w:val="0"/>
                    <w:adjustRightInd w:val="0"/>
                    <w:snapToGrid w:val="0"/>
                    <w:spacing w:before="0" w:beforeAutospacing="0" w:after="0" w:afterAutospacing="0" w:line="240" w:lineRule="auto"/>
                    <w:ind w:firstLine="0" w:firstLineChars="0"/>
                    <w:jc w:val="center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910" w:type="dxa"/>
                  <w:vAlign w:val="center"/>
                </w:tcPr>
                <w:p>
                  <w:pPr>
                    <w:pStyle w:val="6"/>
                    <w:widowControl w:val="0"/>
                    <w:adjustRightInd w:val="0"/>
                    <w:snapToGrid w:val="0"/>
                    <w:spacing w:before="0" w:beforeAutospacing="0" w:after="0" w:afterAutospacing="0" w:line="240" w:lineRule="auto"/>
                    <w:ind w:firstLine="0" w:firstLineChars="0"/>
                    <w:jc w:val="center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1"/>
                    </w:rPr>
                    <w:t>施工机械和车辆尾气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CH、CO、NO</w:t>
                  </w:r>
                  <w:r>
                    <w:rPr>
                      <w:color w:val="auto"/>
                      <w:sz w:val="21"/>
                      <w:szCs w:val="21"/>
                      <w:vertAlign w:val="subscript"/>
                    </w:rPr>
                    <w:t>x</w:t>
                  </w:r>
                </w:p>
              </w:tc>
              <w:tc>
                <w:tcPr>
                  <w:tcW w:w="2296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自然扩散</w:t>
                  </w:r>
                </w:p>
              </w:tc>
              <w:tc>
                <w:tcPr>
                  <w:tcW w:w="2698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不产生明显不利影响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24" w:type="dxa"/>
                  <w:vMerge w:val="continue"/>
                  <w:vAlign w:val="center"/>
                </w:tcPr>
                <w:p>
                  <w:pPr>
                    <w:pStyle w:val="6"/>
                    <w:widowControl w:val="0"/>
                    <w:adjustRightInd w:val="0"/>
                    <w:snapToGrid w:val="0"/>
                    <w:spacing w:before="0" w:beforeAutospacing="0" w:after="0" w:afterAutospacing="0" w:line="240" w:lineRule="auto"/>
                    <w:ind w:firstLine="0" w:firstLineChars="0"/>
                    <w:jc w:val="center"/>
                    <w:rPr>
                      <w:rFonts w:ascii="Times New Roman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04" w:type="dxa"/>
                  <w:vMerge w:val="continue"/>
                  <w:vAlign w:val="center"/>
                </w:tcPr>
                <w:p>
                  <w:pPr>
                    <w:pStyle w:val="6"/>
                    <w:widowControl w:val="0"/>
                    <w:adjustRightInd w:val="0"/>
                    <w:snapToGrid w:val="0"/>
                    <w:spacing w:before="0" w:beforeAutospacing="0" w:after="0" w:afterAutospacing="0" w:line="240" w:lineRule="auto"/>
                    <w:ind w:firstLine="0" w:firstLineChars="0"/>
                    <w:jc w:val="center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910" w:type="dxa"/>
                  <w:vAlign w:val="center"/>
                </w:tcPr>
                <w:p>
                  <w:pPr>
                    <w:pStyle w:val="6"/>
                    <w:widowControl w:val="0"/>
                    <w:adjustRightInd w:val="0"/>
                    <w:snapToGrid w:val="0"/>
                    <w:spacing w:before="0" w:beforeAutospacing="0" w:after="0" w:afterAutospacing="0" w:line="240" w:lineRule="auto"/>
                    <w:ind w:firstLine="0" w:firstLineChars="0"/>
                    <w:jc w:val="center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1"/>
                    </w:rPr>
                    <w:t>装修、设备安装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扬尘</w:t>
                  </w:r>
                </w:p>
              </w:tc>
              <w:tc>
                <w:tcPr>
                  <w:tcW w:w="2296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洒水降尘</w:t>
                  </w:r>
                </w:p>
              </w:tc>
              <w:tc>
                <w:tcPr>
                  <w:tcW w:w="2698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达《大气污染物综合排放标准》（GB16297-1996）表2无组织排放标准。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24" w:type="dxa"/>
                  <w:vMerge w:val="continue"/>
                  <w:vAlign w:val="center"/>
                </w:tcPr>
                <w:p>
                  <w:pPr>
                    <w:pStyle w:val="6"/>
                    <w:widowControl w:val="0"/>
                    <w:adjustRightInd w:val="0"/>
                    <w:snapToGrid w:val="0"/>
                    <w:spacing w:before="0" w:beforeAutospacing="0" w:after="0" w:afterAutospacing="0" w:line="240" w:lineRule="auto"/>
                    <w:ind w:firstLine="0" w:firstLineChars="0"/>
                    <w:jc w:val="center"/>
                    <w:rPr>
                      <w:rFonts w:ascii="Times New Roman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04" w:type="dxa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营运期</w:t>
                  </w:r>
                </w:p>
              </w:tc>
              <w:tc>
                <w:tcPr>
                  <w:tcW w:w="910" w:type="dxa"/>
                  <w:vMerge w:val="restart"/>
                  <w:vAlign w:val="center"/>
                </w:tcPr>
                <w:p>
                  <w:pPr>
                    <w:pStyle w:val="6"/>
                    <w:widowControl w:val="0"/>
                    <w:adjustRightInd w:val="0"/>
                    <w:snapToGrid w:val="0"/>
                    <w:spacing w:before="0" w:beforeAutospacing="0" w:after="0" w:afterAutospacing="0" w:line="240" w:lineRule="auto"/>
                    <w:ind w:firstLine="0" w:firstLineChars="0"/>
                    <w:jc w:val="center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1"/>
                    </w:rPr>
                    <w:t>生产车间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切片粉尘、</w:t>
                  </w:r>
                  <w:r>
                    <w:rPr>
                      <w:color w:val="auto"/>
                      <w:sz w:val="21"/>
                      <w:szCs w:val="21"/>
                    </w:rPr>
                    <w:t>破碎粉尘、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筛分</w:t>
                  </w:r>
                  <w:r>
                    <w:rPr>
                      <w:color w:val="auto"/>
                      <w:sz w:val="21"/>
                      <w:szCs w:val="21"/>
                    </w:rPr>
                    <w:t>粉尘、</w:t>
                  </w:r>
                </w:p>
              </w:tc>
              <w:tc>
                <w:tcPr>
                  <w:tcW w:w="2296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采用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集气罩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收集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后经</w:t>
                  </w:r>
                  <w:r>
                    <w:rPr>
                      <w:color w:val="auto"/>
                      <w:sz w:val="21"/>
                      <w:szCs w:val="21"/>
                    </w:rPr>
                    <w:t>布袋除尘器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处理，</w:t>
                  </w:r>
                  <w:r>
                    <w:rPr>
                      <w:color w:val="auto"/>
                      <w:sz w:val="21"/>
                      <w:szCs w:val="21"/>
                    </w:rPr>
                    <w:t>处理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后</w:t>
                  </w:r>
                  <w:r>
                    <w:rPr>
                      <w:color w:val="auto"/>
                      <w:sz w:val="21"/>
                      <w:szCs w:val="21"/>
                    </w:rPr>
                    <w:t>经15m排气筒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1#</w:t>
                  </w:r>
                  <w:r>
                    <w:rPr>
                      <w:color w:val="auto"/>
                      <w:sz w:val="21"/>
                      <w:szCs w:val="21"/>
                    </w:rPr>
                    <w:t>排放</w:t>
                  </w:r>
                </w:p>
              </w:tc>
              <w:tc>
                <w:tcPr>
                  <w:tcW w:w="2698" w:type="dxa"/>
                  <w:vAlign w:val="center"/>
                </w:tcPr>
                <w:p>
                  <w:pPr>
                    <w:pStyle w:val="2"/>
                    <w:ind w:firstLine="0" w:firstLineChars="0"/>
                    <w:jc w:val="both"/>
                    <w:rPr>
                      <w:rFonts w:ascii="Times New Roman" w:hAnsi="Times New Roman"/>
                      <w:color w:val="auto"/>
                      <w:kern w:val="2"/>
                      <w:szCs w:val="21"/>
                    </w:rPr>
                  </w:pPr>
                  <w:r>
                    <w:rPr>
                      <w:rFonts w:ascii="Times New Roman" w:hAnsi="Times New Roman"/>
                      <w:color w:val="auto"/>
                      <w:kern w:val="2"/>
                      <w:szCs w:val="21"/>
                    </w:rPr>
                    <w:t>《大气污染综合排放标准》（GB16297-1996）表2中颗粒物最高允许排放浓度限值</w:t>
                  </w:r>
                  <w:r>
                    <w:rPr>
                      <w:rFonts w:hint="eastAsia" w:ascii="Times New Roman" w:hAnsi="Times New Roman"/>
                      <w:color w:val="auto"/>
                      <w:kern w:val="2"/>
                      <w:szCs w:val="21"/>
                      <w:lang w:eastAsia="zh-CN"/>
                    </w:rPr>
                    <w:t>，对周围环境影响较小。</w:t>
                  </w:r>
                </w:p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9" w:hRule="atLeast"/>
                <w:jc w:val="center"/>
              </w:trPr>
              <w:tc>
                <w:tcPr>
                  <w:tcW w:w="924" w:type="dxa"/>
                  <w:vMerge w:val="continue"/>
                  <w:vAlign w:val="center"/>
                </w:tcPr>
                <w:p>
                  <w:pPr>
                    <w:pStyle w:val="6"/>
                    <w:widowControl w:val="0"/>
                    <w:adjustRightInd w:val="0"/>
                    <w:snapToGrid w:val="0"/>
                    <w:spacing w:before="0" w:beforeAutospacing="0" w:after="0" w:afterAutospacing="0" w:line="240" w:lineRule="auto"/>
                    <w:ind w:firstLine="0" w:firstLineChars="0"/>
                    <w:jc w:val="center"/>
                    <w:rPr>
                      <w:rFonts w:ascii="Times New Roman" w:hAnsi="Times New Roman" w:cs="Times New Roman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04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91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燃烧炉</w:t>
                  </w:r>
                  <w:r>
                    <w:rPr>
                      <w:color w:val="auto"/>
                      <w:sz w:val="21"/>
                      <w:szCs w:val="21"/>
                    </w:rPr>
                    <w:t>废气</w:t>
                  </w:r>
                </w:p>
              </w:tc>
              <w:tc>
                <w:tcPr>
                  <w:tcW w:w="2296" w:type="dxa"/>
                  <w:vAlign w:val="center"/>
                </w:tcPr>
                <w:p>
                  <w:pPr>
                    <w:pStyle w:val="6"/>
                    <w:widowControl w:val="0"/>
                    <w:adjustRightInd w:val="0"/>
                    <w:snapToGrid w:val="0"/>
                    <w:spacing w:before="0" w:beforeAutospacing="0" w:after="0" w:afterAutospacing="0" w:line="240" w:lineRule="auto"/>
                    <w:ind w:firstLine="0" w:firstLineChars="0"/>
                    <w:jc w:val="center"/>
                    <w:rPr>
                      <w:rFonts w:ascii="Times New Roman" w:hAnsi="Times New Roman" w:cs="Times New Roman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kern w:val="2"/>
                      <w:sz w:val="21"/>
                      <w:szCs w:val="21"/>
                      <w:lang w:eastAsia="zh-CN"/>
                    </w:rPr>
                    <w:t>燃烧</w:t>
                  </w:r>
                  <w:r>
                    <w:rPr>
                      <w:rFonts w:hint="eastAsia" w:ascii="Times New Roman" w:hAnsi="Times New Roman" w:cs="Times New Roman"/>
                      <w:color w:val="auto"/>
                      <w:kern w:val="2"/>
                      <w:sz w:val="21"/>
                      <w:szCs w:val="21"/>
                    </w:rPr>
                    <w:t>废气由除尘器处理后，</w:t>
                  </w:r>
                  <w:r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1"/>
                    </w:rPr>
                    <w:t>经过15m</w:t>
                  </w:r>
                  <w:r>
                    <w:rPr>
                      <w:rFonts w:hint="eastAsia" w:ascii="Times New Roman" w:hAnsi="Times New Roman" w:cs="Times New Roman"/>
                      <w:color w:val="auto"/>
                      <w:kern w:val="2"/>
                      <w:sz w:val="21"/>
                      <w:szCs w:val="21"/>
                      <w:lang w:eastAsia="zh-CN"/>
                    </w:rPr>
                    <w:t>高</w:t>
                  </w:r>
                  <w:r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1"/>
                    </w:rPr>
                    <w:t>排气筒</w:t>
                  </w:r>
                  <w:r>
                    <w:rPr>
                      <w:rFonts w:hint="eastAsia" w:ascii="Times New Roman" w:hAnsi="Times New Roman" w:cs="Times New Roman"/>
                      <w:color w:val="auto"/>
                      <w:kern w:val="2"/>
                      <w:sz w:val="21"/>
                      <w:szCs w:val="21"/>
                      <w:lang w:val="en-US" w:eastAsia="zh-CN"/>
                    </w:rPr>
                    <w:t>2#</w:t>
                  </w:r>
                  <w:r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1"/>
                    </w:rPr>
                    <w:t>排放。</w:t>
                  </w:r>
                </w:p>
              </w:tc>
              <w:tc>
                <w:tcPr>
                  <w:tcW w:w="2698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达到《工业炉窑大气污染物排放标准》</w:t>
                  </w:r>
                  <w:r>
                    <w:rPr>
                      <w:bCs/>
                      <w:color w:val="auto"/>
                      <w:sz w:val="21"/>
                      <w:szCs w:val="21"/>
                    </w:rPr>
                    <w:t>（GB9078-1996）</w:t>
                  </w:r>
                  <w:r>
                    <w:rPr>
                      <w:color w:val="auto"/>
                      <w:sz w:val="21"/>
                      <w:szCs w:val="21"/>
                    </w:rPr>
                    <w:t>表2二级标准中新建干燥炉、窑污染物排放标准。其中</w:t>
                  </w:r>
                  <w:r>
                    <w:rPr>
                      <w:bCs/>
                      <w:color w:val="auto"/>
                      <w:sz w:val="21"/>
                      <w:szCs w:val="21"/>
                    </w:rPr>
                    <w:t>NO</w:t>
                  </w:r>
                  <w:r>
                    <w:rPr>
                      <w:bCs/>
                      <w:color w:val="auto"/>
                      <w:sz w:val="21"/>
                      <w:szCs w:val="21"/>
                      <w:vertAlign w:val="subscript"/>
                    </w:rPr>
                    <w:t>X</w:t>
                  </w:r>
                  <w:r>
                    <w:rPr>
                      <w:bCs/>
                      <w:color w:val="auto"/>
                      <w:sz w:val="21"/>
                      <w:szCs w:val="21"/>
                    </w:rPr>
                    <w:t>达到</w:t>
                  </w:r>
                  <w:r>
                    <w:rPr>
                      <w:color w:val="auto"/>
                      <w:sz w:val="21"/>
                      <w:szCs w:val="21"/>
                    </w:rPr>
                    <w:t>《大气污染物综合排放标准》（GB16297-1996）表2标准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，</w:t>
                  </w:r>
                  <w:r>
                    <w:rPr>
                      <w:rFonts w:hint="eastAsia" w:ascii="Times New Roman" w:hAnsi="Times New Roman"/>
                      <w:color w:val="auto"/>
                      <w:kern w:val="2"/>
                      <w:szCs w:val="21"/>
                      <w:lang w:eastAsia="zh-CN"/>
                    </w:rPr>
                    <w:t>对周围环境影响较小。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24" w:type="dxa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水污染物</w:t>
                  </w:r>
                </w:p>
              </w:tc>
              <w:tc>
                <w:tcPr>
                  <w:tcW w:w="404" w:type="dxa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施工期</w:t>
                  </w:r>
                </w:p>
              </w:tc>
              <w:tc>
                <w:tcPr>
                  <w:tcW w:w="91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bCs/>
                      <w:color w:val="auto"/>
                      <w:sz w:val="21"/>
                      <w:szCs w:val="21"/>
                    </w:rPr>
                    <w:t>生活废水</w:t>
                  </w:r>
                </w:p>
              </w:tc>
              <w:tc>
                <w:tcPr>
                  <w:tcW w:w="1290" w:type="dxa"/>
                  <w:vMerge w:val="restart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SS</w:t>
                  </w:r>
                </w:p>
                <w:p>
                  <w:pPr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  <w:p>
                  <w:pPr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96" w:type="dxa"/>
                  <w:vMerge w:val="restart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工程区设置1个容积为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2</w:t>
                  </w:r>
                  <w:r>
                    <w:rPr>
                      <w:color w:val="auto"/>
                      <w:sz w:val="21"/>
                      <w:szCs w:val="21"/>
                    </w:rPr>
                    <w:t>m</w:t>
                  </w:r>
                  <w:r>
                    <w:rPr>
                      <w:color w:val="auto"/>
                      <w:sz w:val="21"/>
                      <w:szCs w:val="21"/>
                      <w:vertAlign w:val="superscript"/>
                    </w:rPr>
                    <w:t>3</w:t>
                  </w:r>
                  <w:r>
                    <w:rPr>
                      <w:color w:val="auto"/>
                      <w:sz w:val="21"/>
                      <w:szCs w:val="21"/>
                    </w:rPr>
                    <w:t>的沉淀池处置</w:t>
                  </w:r>
                </w:p>
              </w:tc>
              <w:tc>
                <w:tcPr>
                  <w:tcW w:w="2698" w:type="dxa"/>
                  <w:vMerge w:val="restart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项目内回用做降尘用水，混凝土养护水、设备冲洗水等</w:t>
                  </w:r>
                </w:p>
                <w:p>
                  <w:pPr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沉淀后先于项目内回用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24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04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91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bCs/>
                      <w:color w:val="auto"/>
                      <w:sz w:val="21"/>
                      <w:szCs w:val="21"/>
                    </w:rPr>
                    <w:t>施工废水</w:t>
                  </w:r>
                </w:p>
              </w:tc>
              <w:tc>
                <w:tcPr>
                  <w:tcW w:w="1290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96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698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24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04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91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bCs/>
                      <w:color w:val="auto"/>
                      <w:sz w:val="21"/>
                      <w:szCs w:val="21"/>
                    </w:rPr>
                    <w:t>设备清洗水</w:t>
                  </w:r>
                </w:p>
              </w:tc>
              <w:tc>
                <w:tcPr>
                  <w:tcW w:w="1290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96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698" w:type="dxa"/>
                  <w:vMerge w:val="continue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81" w:hRule="atLeast"/>
                <w:jc w:val="center"/>
              </w:trPr>
              <w:tc>
                <w:tcPr>
                  <w:tcW w:w="924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04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营运期</w:t>
                  </w:r>
                </w:p>
              </w:tc>
              <w:tc>
                <w:tcPr>
                  <w:tcW w:w="910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Fonts w:hint="eastAsia" w:eastAsia="宋体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生活废水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BOD</w:t>
                  </w:r>
                  <w:r>
                    <w:rPr>
                      <w:color w:val="auto"/>
                      <w:sz w:val="21"/>
                      <w:szCs w:val="21"/>
                      <w:vertAlign w:val="subscript"/>
                    </w:rPr>
                    <w:t>5</w:t>
                  </w:r>
                  <w:r>
                    <w:rPr>
                      <w:color w:val="auto"/>
                      <w:sz w:val="21"/>
                      <w:szCs w:val="21"/>
                    </w:rPr>
                    <w:t>、COD</w:t>
                  </w:r>
                  <w:r>
                    <w:rPr>
                      <w:color w:val="auto"/>
                      <w:sz w:val="21"/>
                      <w:szCs w:val="21"/>
                      <w:vertAlign w:val="subscript"/>
                    </w:rPr>
                    <w:t>Cr</w:t>
                  </w:r>
                  <w:r>
                    <w:rPr>
                      <w:color w:val="auto"/>
                      <w:sz w:val="21"/>
                      <w:szCs w:val="21"/>
                    </w:rPr>
                    <w:t>、SS、氨氮、TP</w:t>
                  </w:r>
                </w:p>
              </w:tc>
              <w:tc>
                <w:tcPr>
                  <w:tcW w:w="2296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eastAsia="zh-CN"/>
                    </w:rPr>
                    <w:t>经沉淀池处理</w:t>
                  </w:r>
                  <w:r>
                    <w:rPr>
                      <w:color w:val="auto"/>
                      <w:sz w:val="21"/>
                      <w:szCs w:val="21"/>
                      <w:highlight w:val="none"/>
                    </w:rPr>
                    <w:t>少量生活废水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</w:rPr>
                    <w:t>用于周边绿化、降尘</w:t>
                  </w:r>
                </w:p>
              </w:tc>
              <w:tc>
                <w:tcPr>
                  <w:tcW w:w="2698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废水较少，不产生不利影响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24" w:type="dxa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bCs/>
                      <w:color w:val="auto"/>
                      <w:sz w:val="21"/>
                      <w:szCs w:val="21"/>
                    </w:rPr>
                    <w:t>固</w:t>
                  </w:r>
                </w:p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bCs/>
                      <w:color w:val="auto"/>
                      <w:sz w:val="21"/>
                      <w:szCs w:val="21"/>
                    </w:rPr>
                    <w:t>体</w:t>
                  </w:r>
                </w:p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bCs/>
                      <w:color w:val="auto"/>
                      <w:sz w:val="21"/>
                      <w:szCs w:val="21"/>
                    </w:rPr>
                    <w:t>废</w:t>
                  </w:r>
                </w:p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bCs/>
                      <w:color w:val="auto"/>
                      <w:sz w:val="21"/>
                      <w:szCs w:val="21"/>
                    </w:rPr>
                    <w:t>物</w:t>
                  </w:r>
                </w:p>
              </w:tc>
              <w:tc>
                <w:tcPr>
                  <w:tcW w:w="404" w:type="dxa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施工期</w:t>
                  </w:r>
                </w:p>
              </w:tc>
              <w:tc>
                <w:tcPr>
                  <w:tcW w:w="910" w:type="dxa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施工人员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土石方</w:t>
                  </w:r>
                </w:p>
              </w:tc>
              <w:tc>
                <w:tcPr>
                  <w:tcW w:w="229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施工产生少量</w:t>
                  </w:r>
                  <w:r>
                    <w:rPr>
                      <w:color w:val="auto"/>
                      <w:sz w:val="21"/>
                      <w:szCs w:val="21"/>
                    </w:rPr>
                    <w:t>土石方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可</w:t>
                  </w:r>
                  <w:r>
                    <w:rPr>
                      <w:color w:val="auto"/>
                      <w:sz w:val="21"/>
                      <w:szCs w:val="21"/>
                    </w:rPr>
                    <w:t>回用于场地平整以及项目内绿化，无废弃土石方</w:t>
                  </w:r>
                </w:p>
              </w:tc>
              <w:tc>
                <w:tcPr>
                  <w:tcW w:w="2698" w:type="dxa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处置率100%，不直接外排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24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bCs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04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91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建筑垃圾</w:t>
                  </w:r>
                </w:p>
              </w:tc>
              <w:tc>
                <w:tcPr>
                  <w:tcW w:w="229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运至行政主管部门指定地点</w:t>
                  </w:r>
                  <w:r>
                    <w:rPr>
                      <w:color w:val="auto"/>
                      <w:sz w:val="21"/>
                      <w:szCs w:val="21"/>
                    </w:rPr>
                    <w:t>处理</w:t>
                  </w:r>
                </w:p>
              </w:tc>
              <w:tc>
                <w:tcPr>
                  <w:tcW w:w="2698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24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bCs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04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91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生活垃圾</w:t>
                  </w:r>
                </w:p>
              </w:tc>
              <w:tc>
                <w:tcPr>
                  <w:tcW w:w="229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生活垃圾分类收集后，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eastAsia="zh-CN"/>
                    </w:rPr>
                    <w:t>清运至附近就近垃圾处理场所处理</w:t>
                  </w:r>
                </w:p>
              </w:tc>
              <w:tc>
                <w:tcPr>
                  <w:tcW w:w="2698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24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04" w:type="dxa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营运期</w:t>
                  </w:r>
                </w:p>
              </w:tc>
              <w:tc>
                <w:tcPr>
                  <w:tcW w:w="910" w:type="dxa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生产车间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破碎</w:t>
                  </w:r>
                  <w:r>
                    <w:rPr>
                      <w:color w:val="auto"/>
                      <w:sz w:val="21"/>
                      <w:szCs w:val="21"/>
                    </w:rPr>
                    <w:t>不合格原料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、边角料</w:t>
                  </w:r>
                </w:p>
              </w:tc>
              <w:tc>
                <w:tcPr>
                  <w:tcW w:w="2296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Fonts w:hint="eastAsia" w:eastAsia="宋体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破碎</w:t>
                  </w:r>
                  <w:r>
                    <w:rPr>
                      <w:color w:val="auto"/>
                      <w:sz w:val="21"/>
                      <w:szCs w:val="21"/>
                    </w:rPr>
                    <w:t>不合格原料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回用做原料，边角料回用做燃烧炉燃料</w:t>
                  </w:r>
                </w:p>
              </w:tc>
              <w:tc>
                <w:tcPr>
                  <w:tcW w:w="2698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24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04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91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燃烧炉灰渣</w:t>
                  </w:r>
                </w:p>
              </w:tc>
              <w:tc>
                <w:tcPr>
                  <w:tcW w:w="2296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both"/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还田、施肥</w:t>
                  </w:r>
                </w:p>
              </w:tc>
              <w:tc>
                <w:tcPr>
                  <w:tcW w:w="2698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24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bCs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04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bCs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910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包装废料及其他固废</w:t>
                  </w:r>
                </w:p>
              </w:tc>
              <w:tc>
                <w:tcPr>
                  <w:tcW w:w="2296" w:type="dxa"/>
                  <w:vAlign w:val="center"/>
                </w:tcPr>
                <w:p>
                  <w:pPr>
                    <w:pStyle w:val="11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</w:rPr>
                  </w:pPr>
                  <w:r>
                    <w:rPr>
                      <w:color w:val="auto"/>
                      <w:sz w:val="21"/>
                    </w:rPr>
                    <w:t>可回收部分出售给废物回收站、不可回收部分</w:t>
                  </w:r>
                  <w:r>
                    <w:rPr>
                      <w:rFonts w:hint="eastAsia"/>
                      <w:color w:val="auto"/>
                      <w:sz w:val="21"/>
                      <w:lang w:eastAsia="zh-CN"/>
                    </w:rPr>
                    <w:t>清运至附近就近垃圾处理场所处理</w:t>
                  </w:r>
                </w:p>
              </w:tc>
              <w:tc>
                <w:tcPr>
                  <w:tcW w:w="2698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24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bCs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04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910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办公区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生活垃圾</w:t>
                  </w:r>
                </w:p>
              </w:tc>
              <w:tc>
                <w:tcPr>
                  <w:tcW w:w="2296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eastAsia="zh-CN"/>
                    </w:rPr>
                    <w:t>清运至附近就近垃圾处理场所处理</w:t>
                  </w:r>
                </w:p>
              </w:tc>
              <w:tc>
                <w:tcPr>
                  <w:tcW w:w="2698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24" w:type="dxa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bCs/>
                      <w:color w:val="auto"/>
                      <w:sz w:val="21"/>
                      <w:szCs w:val="21"/>
                    </w:rPr>
                    <w:t>噪声</w:t>
                  </w:r>
                </w:p>
              </w:tc>
              <w:tc>
                <w:tcPr>
                  <w:tcW w:w="404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施工期</w:t>
                  </w:r>
                </w:p>
              </w:tc>
              <w:tc>
                <w:tcPr>
                  <w:tcW w:w="2200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施工机械和运输车辆</w:t>
                  </w:r>
                </w:p>
              </w:tc>
              <w:tc>
                <w:tcPr>
                  <w:tcW w:w="229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①施工边界设置围挡；</w:t>
                  </w:r>
                </w:p>
                <w:p>
                  <w:pPr>
                    <w:spacing w:line="240" w:lineRule="auto"/>
                    <w:ind w:firstLine="0" w:firstLineChars="0"/>
                    <w:jc w:val="both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②夜间禁止施工；</w:t>
                  </w:r>
                </w:p>
                <w:p>
                  <w:pPr>
                    <w:spacing w:line="240" w:lineRule="auto"/>
                    <w:ind w:firstLine="0" w:firstLineChars="0"/>
                    <w:jc w:val="both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③装修材料定尺定料减少现场切割；</w:t>
                  </w:r>
                </w:p>
              </w:tc>
              <w:tc>
                <w:tcPr>
                  <w:tcW w:w="2698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达（GB12523-2011）《建筑施工场界环境噪声排放标准》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24" w:type="dxa"/>
                  <w:vMerge w:val="continue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bCs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04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营运期</w:t>
                  </w:r>
                </w:p>
              </w:tc>
              <w:tc>
                <w:tcPr>
                  <w:tcW w:w="910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生产车间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噪声</w:t>
                  </w:r>
                </w:p>
              </w:tc>
              <w:tc>
                <w:tcPr>
                  <w:tcW w:w="4994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color w:val="auto"/>
                      <w:sz w:val="21"/>
                      <w:szCs w:val="21"/>
                    </w:rPr>
                    <w:t>经车间围墙的阻隔和距离衰减后，可达《工业企业厂界环境噪声排放标准》（GB12348-2008）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2</w:t>
                  </w:r>
                  <w:r>
                    <w:rPr>
                      <w:color w:val="auto"/>
                      <w:sz w:val="21"/>
                      <w:szCs w:val="21"/>
                    </w:rPr>
                    <w:t>类标准：昼间≤6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</w:rPr>
                    <w:t>0</w:t>
                  </w:r>
                  <w:r>
                    <w:rPr>
                      <w:color w:val="auto"/>
                      <w:sz w:val="21"/>
                      <w:szCs w:val="21"/>
                    </w:rPr>
                    <w:t>dB（A），夜间不生产。</w:t>
                  </w:r>
                </w:p>
              </w:tc>
            </w:tr>
          </w:tbl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建设单位或地方政府所作出的相关承诺文件</w:t>
            </w:r>
          </w:p>
        </w:tc>
        <w:tc>
          <w:tcPr>
            <w:tcW w:w="57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梁河县众源新能源开发有限责任公司</w:t>
            </w:r>
            <w:r>
              <w:rPr>
                <w:rFonts w:hint="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sz w:val="21"/>
                <w:szCs w:val="21"/>
              </w:rPr>
              <w:t>关于梁河县生物质颗粒燃料厂建设项目报告表公示的承诺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拟审批意见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拟审批意见</w:t>
            </w:r>
          </w:p>
        </w:tc>
        <w:tc>
          <w:tcPr>
            <w:tcW w:w="75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同意该项目按照《报告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》提出提出的性质、规模、地点、采用防治污染、防治生态破坏的措施建设。</w:t>
            </w:r>
            <w:bookmarkStart w:id="2" w:name="_GoBack"/>
            <w:bookmarkEnd w:id="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82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:项目基本情况、项目主要环境影响、项目预防及减轻不良环境影响的对策和措施、公众参与情况、建设单位或地方政府所作出的相关承诺文件部分由建设单位填写。拟审批意见、公众反馈意见联系方式部分由行政审批机关填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..ì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im Sun+ 2">
    <w:altName w:val="方正姚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1F16"/>
    <w:rsid w:val="002915BE"/>
    <w:rsid w:val="00351F16"/>
    <w:rsid w:val="00463016"/>
    <w:rsid w:val="00594162"/>
    <w:rsid w:val="00616321"/>
    <w:rsid w:val="008872FD"/>
    <w:rsid w:val="00B66D25"/>
    <w:rsid w:val="00CE34A4"/>
    <w:rsid w:val="12465BB8"/>
    <w:rsid w:val="53503772"/>
    <w:rsid w:val="5766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adjustRightInd w:val="0"/>
      <w:spacing w:line="520" w:lineRule="atLeast"/>
      <w:jc w:val="left"/>
      <w:textAlignment w:val="baseline"/>
      <w:outlineLvl w:val="0"/>
    </w:pPr>
    <w:rPr>
      <w:rFonts w:ascii="黑体" w:eastAsia="黑体"/>
      <w:bCs/>
      <w:kern w:val="0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1 + 四号 段前: 0 磅 段后: 0 磅 行距: 1.5 倍行距"/>
    <w:basedOn w:val="3"/>
    <w:qFormat/>
    <w:uiPriority w:val="0"/>
    <w:pPr>
      <w:spacing w:line="360" w:lineRule="auto"/>
      <w:jc w:val="center"/>
    </w:pPr>
    <w:rPr>
      <w:rFonts w:hAnsi="黑体" w:eastAsia="宋体"/>
      <w:sz w:val="21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uiPriority w:val="99"/>
    <w:rPr>
      <w:sz w:val="18"/>
      <w:szCs w:val="18"/>
    </w:rPr>
  </w:style>
  <w:style w:type="paragraph" w:customStyle="1" w:styleId="11">
    <w:name w:val="Char1"/>
    <w:basedOn w:val="1"/>
    <w:qFormat/>
    <w:uiPriority w:val="0"/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228</Characters>
  <Lines>1</Lines>
  <Paragraphs>1</Paragraphs>
  <TotalTime>0</TotalTime>
  <ScaleCrop>false</ScaleCrop>
  <LinksUpToDate>false</LinksUpToDate>
  <CharactersWithSpaces>266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2016-02-15T08:54:00Z</dcterms:created>
  <dc:creator>DELL</dc:creator>
  <cp:lastModifiedBy>践行</cp:lastModifiedBy>
  <dcterms:modified xsi:type="dcterms:W3CDTF">2018-01-15T03:29:46Z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