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梁河县2022年林业有害生物防治</w:t>
      </w:r>
    </w:p>
    <w:p>
      <w:pPr>
        <w:pStyle w:val="12"/>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建设项目实施方案</w:t>
      </w:r>
    </w:p>
    <w:p>
      <w:pPr>
        <w:keepNext w:val="0"/>
        <w:keepLines w:val="0"/>
        <w:pageBreakBefore w:val="0"/>
        <w:kinsoku/>
        <w:wordWrap/>
        <w:overflowPunct/>
        <w:topLinePunct w:val="0"/>
        <w:autoSpaceDE/>
        <w:autoSpaceDN/>
        <w:bidi w:val="0"/>
        <w:adjustRightInd/>
        <w:snapToGrid/>
        <w:spacing w:line="600" w:lineRule="exact"/>
        <w:ind w:firstLine="1440" w:firstLineChars="200"/>
        <w:rPr>
          <w:rFonts w:ascii="仿宋" w:hAnsi="仿宋" w:eastAsia="仿宋" w:cs="仿宋"/>
          <w:sz w:val="72"/>
          <w:szCs w:val="7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楷体_GBK" w:cs="Times New Roman"/>
          <w:sz w:val="32"/>
          <w:szCs w:val="32"/>
        </w:rPr>
      </w:pPr>
    </w:p>
    <w:p>
      <w:pPr>
        <w:pStyle w:val="2"/>
        <w:rPr>
          <w:rFonts w:hint="default"/>
        </w:rPr>
      </w:pPr>
    </w:p>
    <w:p>
      <w:pPr>
        <w:pStyle w:val="12"/>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楷体_GBK" w:cs="Times New Roman"/>
          <w:b/>
          <w:sz w:val="44"/>
          <w:szCs w:val="44"/>
        </w:rPr>
      </w:pPr>
      <w:r>
        <w:rPr>
          <w:rFonts w:hint="default" w:ascii="Times New Roman" w:hAnsi="Times New Roman" w:eastAsia="方正楷体_GBK" w:cs="Times New Roman"/>
          <w:b/>
          <w:sz w:val="44"/>
          <w:szCs w:val="44"/>
        </w:rPr>
        <w:t>梁河县林业和草原局</w:t>
      </w:r>
    </w:p>
    <w:p>
      <w:pPr>
        <w:pStyle w:val="12"/>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楷体_GBK" w:cs="Times New Roman"/>
          <w:b/>
          <w:sz w:val="44"/>
          <w:szCs w:val="44"/>
        </w:rPr>
      </w:pPr>
      <w:r>
        <w:rPr>
          <w:rFonts w:hint="default" w:ascii="Times New Roman" w:hAnsi="Times New Roman" w:eastAsia="方正楷体_GBK" w:cs="Times New Roman"/>
          <w:b/>
          <w:sz w:val="44"/>
          <w:szCs w:val="44"/>
        </w:rPr>
        <w:t>2022年5月</w:t>
      </w:r>
    </w:p>
    <w:p>
      <w:pPr>
        <w:keepNext w:val="0"/>
        <w:keepLines w:val="0"/>
        <w:pageBreakBefore w:val="0"/>
        <w:kinsoku/>
        <w:wordWrap/>
        <w:overflowPunct/>
        <w:topLinePunct w:val="0"/>
        <w:autoSpaceDE/>
        <w:autoSpaceDN/>
        <w:bidi w:val="0"/>
        <w:adjustRightInd/>
        <w:snapToGrid/>
        <w:spacing w:line="600" w:lineRule="exact"/>
        <w:ind w:firstLine="720" w:firstLineChars="200"/>
        <w:rPr>
          <w:rFonts w:ascii="黑体" w:hAnsi="黑体" w:eastAsia="黑体" w:cs="黑体"/>
          <w:sz w:val="36"/>
          <w:szCs w:val="36"/>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项目名称：梁河县2022年林业有害生物防治建设项目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项目法人代表：段双宝（县林业和草原局局长）</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编制单位：梁河县林业和草原局</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技术负责人：曹加兴</w:t>
      </w:r>
      <w:r>
        <w:rPr>
          <w:rFonts w:hint="eastAsia" w:ascii="仿宋" w:hAnsi="仿宋" w:eastAsia="仿宋" w:cs="仿宋"/>
          <w:sz w:val="32"/>
          <w:szCs w:val="32"/>
          <w:lang w:eastAsia="zh-CN"/>
        </w:rPr>
        <w:t>、</w:t>
      </w:r>
      <w:r>
        <w:rPr>
          <w:rFonts w:hint="eastAsia" w:ascii="仿宋" w:hAnsi="仿宋" w:eastAsia="仿宋" w:cs="仿宋"/>
          <w:sz w:val="32"/>
          <w:szCs w:val="32"/>
        </w:rPr>
        <w:t>张彦愉</w:t>
      </w:r>
    </w:p>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r>
        <w:rPr>
          <w:rFonts w:hint="eastAsia" w:ascii="仿宋" w:hAnsi="仿宋" w:eastAsia="仿宋" w:cs="仿宋"/>
          <w:sz w:val="32"/>
          <w:szCs w:val="32"/>
        </w:rPr>
        <w:t>编制人员：张彦愉、李晓芳、姚年昌</w:t>
      </w:r>
    </w:p>
    <w:p>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r>
        <w:rPr>
          <w:rFonts w:hint="eastAsia" w:ascii="仿宋" w:hAnsi="仿宋" w:eastAsia="仿宋" w:cs="仿宋"/>
          <w:sz w:val="32"/>
          <w:szCs w:val="32"/>
        </w:rPr>
        <w:t>技术支撑单位：梁河县林业调查规划设计队</w:t>
      </w:r>
    </w:p>
    <w:p>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梁河县林业和草原局参加人员：</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王玉锁、赵静、许平、周红明、唐永乐、李腊保、杨双东、何明垄、晏照磊、张如才、宋庆仙、吴小魏、付倩、熊开伟、赵兴如、杨荣嵘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思治明</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pPr>
        <w:pStyle w:val="2"/>
        <w:keepNext w:val="0"/>
        <w:keepLines w:val="0"/>
        <w:pageBreakBefore w:val="0"/>
        <w:kinsoku/>
        <w:wordWrap/>
        <w:overflowPunct/>
        <w:topLinePunct w:val="0"/>
        <w:autoSpaceDE/>
        <w:autoSpaceDN/>
        <w:bidi w:val="0"/>
        <w:adjustRightInd/>
        <w:snapToGrid/>
        <w:spacing w:line="600" w:lineRule="exact"/>
        <w:ind w:left="840" w:hanging="420"/>
      </w:pPr>
    </w:p>
    <w:p>
      <w:pPr>
        <w:pStyle w:val="3"/>
      </w:pPr>
    </w:p>
    <w:p>
      <w:pPr>
        <w:pStyle w:val="2"/>
      </w:pPr>
    </w:p>
    <w:p>
      <w:pPr>
        <w:pStyle w:val="3"/>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pStyle w:val="12"/>
        <w:keepNext w:val="0"/>
        <w:keepLines w:val="0"/>
        <w:pageBreakBefore w:val="0"/>
        <w:kinsoku/>
        <w:wordWrap/>
        <w:overflowPunct/>
        <w:topLinePunct w:val="0"/>
        <w:autoSpaceDE/>
        <w:autoSpaceDN/>
        <w:bidi w:val="0"/>
        <w:adjustRightInd/>
        <w:snapToGrid/>
        <w:spacing w:line="600" w:lineRule="exact"/>
        <w:jc w:val="center"/>
        <w:rPr>
          <w:rFonts w:ascii="仿宋" w:hAnsi="仿宋"/>
          <w:bCs/>
          <w:sz w:val="44"/>
          <w:szCs w:val="44"/>
        </w:rPr>
      </w:pPr>
      <w:r>
        <w:rPr>
          <w:rFonts w:hint="eastAsia" w:ascii="仿宋" w:hAnsi="仿宋"/>
          <w:bCs/>
          <w:sz w:val="44"/>
          <w:szCs w:val="44"/>
        </w:rPr>
        <w:t>目录</w:t>
      </w:r>
    </w:p>
    <w:p>
      <w:pPr>
        <w:pStyle w:val="12"/>
        <w:keepNext w:val="0"/>
        <w:keepLines w:val="0"/>
        <w:pageBreakBefore w:val="0"/>
        <w:kinsoku/>
        <w:wordWrap/>
        <w:overflowPunct/>
        <w:topLinePunct w:val="0"/>
        <w:autoSpaceDE/>
        <w:autoSpaceDN/>
        <w:bidi w:val="0"/>
        <w:adjustRightInd/>
        <w:snapToGrid/>
        <w:spacing w:line="600" w:lineRule="exact"/>
        <w:jc w:val="center"/>
        <w:rPr>
          <w:rFonts w:ascii="仿宋" w:hAnsi="仿宋"/>
          <w:bCs/>
          <w:sz w:val="44"/>
          <w:szCs w:val="44"/>
        </w:rPr>
      </w:pPr>
    </w:p>
    <w:p>
      <w:pPr>
        <w:pStyle w:val="8"/>
        <w:keepNext w:val="0"/>
        <w:keepLines w:val="0"/>
        <w:pageBreakBefore w:val="0"/>
        <w:kinsoku/>
        <w:wordWrap/>
        <w:overflowPunct/>
        <w:topLinePunct w:val="0"/>
        <w:autoSpaceDE/>
        <w:autoSpaceDN/>
        <w:bidi w:val="0"/>
        <w:adjustRightInd/>
        <w:snapToGrid/>
        <w:spacing w:line="600" w:lineRule="exact"/>
        <w:rPr>
          <w:rStyle w:val="11"/>
          <w:rFonts w:ascii="仿宋" w:hAnsi="仿宋" w:eastAsia="仿宋"/>
          <w:b w:val="0"/>
          <w:sz w:val="28"/>
          <w:szCs w:val="28"/>
        </w:rPr>
      </w:pPr>
      <w:r>
        <w:rPr>
          <w:rFonts w:ascii="仿宋" w:hAnsi="仿宋" w:eastAsia="仿宋"/>
          <w:b w:val="0"/>
          <w:sz w:val="28"/>
          <w:szCs w:val="28"/>
        </w:rPr>
        <w:fldChar w:fldCharType="begin"/>
      </w:r>
      <w:r>
        <w:rPr>
          <w:rFonts w:hint="eastAsia" w:ascii="仿宋" w:hAnsi="仿宋" w:eastAsia="仿宋"/>
          <w:b w:val="0"/>
          <w:sz w:val="28"/>
          <w:szCs w:val="28"/>
        </w:rPr>
        <w:instrText xml:space="preserve">TOC \o "1-3" \h \z \u</w:instrText>
      </w:r>
      <w:r>
        <w:rPr>
          <w:rFonts w:ascii="仿宋" w:hAnsi="仿宋" w:eastAsia="仿宋"/>
          <w:b w:val="0"/>
          <w:sz w:val="28"/>
          <w:szCs w:val="28"/>
        </w:rPr>
        <w:fldChar w:fldCharType="separate"/>
      </w:r>
      <w:r>
        <w:fldChar w:fldCharType="begin"/>
      </w:r>
      <w:r>
        <w:instrText xml:space="preserve"> HYPERLINK \l "_Toc13039868" </w:instrText>
      </w:r>
      <w:r>
        <w:fldChar w:fldCharType="separate"/>
      </w:r>
      <w:r>
        <w:rPr>
          <w:rStyle w:val="11"/>
          <w:rFonts w:ascii="仿宋" w:hAnsi="仿宋" w:eastAsia="仿宋"/>
          <w:b w:val="0"/>
          <w:sz w:val="28"/>
          <w:szCs w:val="28"/>
        </w:rPr>
        <w:t>一、总体要求</w:t>
      </w:r>
      <w:r>
        <w:rPr>
          <w:rFonts w:ascii="仿宋" w:hAnsi="仿宋" w:eastAsia="仿宋"/>
          <w:b w:val="0"/>
          <w:sz w:val="28"/>
          <w:szCs w:val="28"/>
        </w:rPr>
        <w:tab/>
      </w:r>
      <w:r>
        <w:rPr>
          <w:rFonts w:ascii="仿宋" w:hAnsi="仿宋" w:eastAsia="仿宋"/>
          <w:b w:val="0"/>
          <w:sz w:val="28"/>
          <w:szCs w:val="28"/>
        </w:rPr>
        <w:fldChar w:fldCharType="end"/>
      </w:r>
      <w:r>
        <w:rPr>
          <w:rStyle w:val="11"/>
          <w:rFonts w:hint="eastAsia" w:ascii="仿宋" w:hAnsi="仿宋" w:eastAsia="仿宋"/>
          <w:b w:val="0"/>
          <w:sz w:val="28"/>
          <w:szCs w:val="28"/>
        </w:rPr>
        <w:t>1</w:t>
      </w:r>
    </w:p>
    <w:p>
      <w:pPr>
        <w:pStyle w:val="8"/>
        <w:keepNext w:val="0"/>
        <w:keepLines w:val="0"/>
        <w:pageBreakBefore w:val="0"/>
        <w:kinsoku/>
        <w:wordWrap/>
        <w:overflowPunct/>
        <w:topLinePunct w:val="0"/>
        <w:autoSpaceDE/>
        <w:autoSpaceDN/>
        <w:bidi w:val="0"/>
        <w:adjustRightInd/>
        <w:snapToGrid/>
        <w:spacing w:line="600" w:lineRule="exact"/>
        <w:rPr>
          <w:rFonts w:ascii="仿宋" w:hAnsi="仿宋" w:eastAsia="仿宋"/>
          <w:b w:val="0"/>
          <w:sz w:val="28"/>
          <w:szCs w:val="28"/>
        </w:rPr>
      </w:pPr>
      <w:r>
        <w:fldChar w:fldCharType="begin"/>
      </w:r>
      <w:r>
        <w:instrText xml:space="preserve"> HYPERLINK \l "_Toc13039869" </w:instrText>
      </w:r>
      <w:r>
        <w:fldChar w:fldCharType="separate"/>
      </w:r>
      <w:r>
        <w:rPr>
          <w:rStyle w:val="11"/>
          <w:rFonts w:ascii="仿宋" w:hAnsi="仿宋" w:eastAsia="仿宋"/>
          <w:b w:val="0"/>
          <w:sz w:val="28"/>
          <w:szCs w:val="28"/>
        </w:rPr>
        <w:t>二、</w:t>
      </w:r>
      <w:r>
        <w:rPr>
          <w:rStyle w:val="11"/>
          <w:rFonts w:hint="eastAsia" w:ascii="仿宋" w:hAnsi="仿宋" w:eastAsia="仿宋"/>
          <w:b w:val="0"/>
          <w:sz w:val="28"/>
          <w:szCs w:val="28"/>
        </w:rPr>
        <w:t>项目概况</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1</w:t>
      </w:r>
    </w:p>
    <w:p>
      <w:pPr>
        <w:pStyle w:val="8"/>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b w:val="0"/>
          <w:sz w:val="28"/>
          <w:szCs w:val="28"/>
          <w:lang w:eastAsia="zh-CN"/>
        </w:rPr>
      </w:pPr>
      <w:r>
        <w:fldChar w:fldCharType="begin"/>
      </w:r>
      <w:r>
        <w:instrText xml:space="preserve"> HYPERLINK \l "_Toc13039870" </w:instrText>
      </w:r>
      <w:r>
        <w:fldChar w:fldCharType="separate"/>
      </w:r>
      <w:r>
        <w:rPr>
          <w:rStyle w:val="11"/>
          <w:rFonts w:ascii="仿宋" w:hAnsi="仿宋" w:eastAsia="仿宋"/>
          <w:b w:val="0"/>
          <w:sz w:val="28"/>
          <w:szCs w:val="28"/>
        </w:rPr>
        <w:t>三、建设内容</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lang w:val="en-US" w:eastAsia="zh-CN"/>
        </w:rPr>
        <w:t>2</w:t>
      </w:r>
    </w:p>
    <w:p>
      <w:pPr>
        <w:pStyle w:val="8"/>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b w:val="0"/>
          <w:sz w:val="28"/>
          <w:szCs w:val="28"/>
          <w:lang w:eastAsia="zh-CN"/>
        </w:rPr>
      </w:pPr>
      <w:r>
        <w:fldChar w:fldCharType="begin"/>
      </w:r>
      <w:r>
        <w:instrText xml:space="preserve"> HYPERLINK \l "_Toc13039870" </w:instrText>
      </w:r>
      <w:r>
        <w:fldChar w:fldCharType="separate"/>
      </w:r>
      <w:r>
        <w:rPr>
          <w:rStyle w:val="11"/>
          <w:rFonts w:hint="eastAsia" w:ascii="仿宋" w:hAnsi="仿宋" w:eastAsia="仿宋" w:cs="Times New Roman"/>
          <w:b w:val="0"/>
          <w:sz w:val="28"/>
          <w:szCs w:val="28"/>
        </w:rPr>
        <w:t>四</w:t>
      </w:r>
      <w:r>
        <w:rPr>
          <w:rStyle w:val="11"/>
          <w:rFonts w:ascii="仿宋" w:hAnsi="仿宋" w:eastAsia="仿宋" w:cs="Times New Roman"/>
          <w:b w:val="0"/>
          <w:sz w:val="28"/>
          <w:szCs w:val="28"/>
        </w:rPr>
        <w:t>、建设</w:t>
      </w:r>
      <w:r>
        <w:rPr>
          <w:rStyle w:val="11"/>
          <w:rFonts w:hint="eastAsia" w:ascii="仿宋" w:hAnsi="仿宋" w:eastAsia="仿宋" w:cs="Times New Roman"/>
          <w:b w:val="0"/>
          <w:sz w:val="28"/>
          <w:szCs w:val="28"/>
        </w:rPr>
        <w:t>投资</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lang w:val="en-US" w:eastAsia="zh-CN"/>
        </w:rPr>
        <w:t>3</w:t>
      </w:r>
    </w:p>
    <w:p>
      <w:pPr>
        <w:pStyle w:val="8"/>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b w:val="0"/>
          <w:sz w:val="28"/>
          <w:szCs w:val="28"/>
          <w:lang w:eastAsia="zh-CN"/>
        </w:rPr>
      </w:pPr>
      <w:r>
        <w:fldChar w:fldCharType="begin"/>
      </w:r>
      <w:r>
        <w:instrText xml:space="preserve"> HYPERLINK \l "_Toc13039873" </w:instrText>
      </w:r>
      <w:r>
        <w:fldChar w:fldCharType="separate"/>
      </w:r>
      <w:r>
        <w:rPr>
          <w:rStyle w:val="11"/>
          <w:rFonts w:hint="eastAsia" w:ascii="仿宋" w:hAnsi="仿宋" w:eastAsia="仿宋" w:cs="Times New Roman"/>
          <w:b w:val="0"/>
          <w:sz w:val="28"/>
          <w:szCs w:val="28"/>
        </w:rPr>
        <w:t>五</w:t>
      </w:r>
      <w:r>
        <w:rPr>
          <w:rStyle w:val="11"/>
          <w:rFonts w:ascii="仿宋" w:hAnsi="仿宋" w:eastAsia="仿宋" w:cs="Times New Roman"/>
          <w:b w:val="0"/>
          <w:sz w:val="28"/>
          <w:szCs w:val="28"/>
        </w:rPr>
        <w:t>、</w:t>
      </w:r>
      <w:r>
        <w:rPr>
          <w:rStyle w:val="11"/>
          <w:rFonts w:ascii="仿宋" w:hAnsi="仿宋" w:eastAsia="仿宋"/>
          <w:b w:val="0"/>
          <w:sz w:val="28"/>
          <w:szCs w:val="28"/>
        </w:rPr>
        <w:t>组织</w:t>
      </w:r>
      <w:r>
        <w:rPr>
          <w:rStyle w:val="11"/>
          <w:rFonts w:hint="eastAsia" w:ascii="仿宋" w:hAnsi="仿宋" w:eastAsia="仿宋"/>
          <w:b w:val="0"/>
          <w:sz w:val="28"/>
          <w:szCs w:val="28"/>
        </w:rPr>
        <w:t>管理</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lang w:val="en-US" w:eastAsia="zh-CN"/>
        </w:rPr>
        <w:t>4</w:t>
      </w:r>
    </w:p>
    <w:p>
      <w:pPr>
        <w:pStyle w:val="8"/>
        <w:keepNext w:val="0"/>
        <w:keepLines w:val="0"/>
        <w:pageBreakBefore w:val="0"/>
        <w:kinsoku/>
        <w:wordWrap/>
        <w:overflowPunct/>
        <w:topLinePunct w:val="0"/>
        <w:autoSpaceDE/>
        <w:autoSpaceDN/>
        <w:bidi w:val="0"/>
        <w:adjustRightInd/>
        <w:snapToGrid/>
        <w:spacing w:line="600" w:lineRule="exact"/>
        <w:rPr>
          <w:rFonts w:ascii="仿宋" w:hAnsi="仿宋" w:eastAsia="仿宋"/>
          <w:b w:val="0"/>
          <w:sz w:val="28"/>
          <w:szCs w:val="28"/>
        </w:rPr>
      </w:pPr>
      <w:r>
        <w:fldChar w:fldCharType="begin"/>
      </w:r>
      <w:r>
        <w:instrText xml:space="preserve"> HYPERLINK \l "_Toc13039874" </w:instrText>
      </w:r>
      <w:r>
        <w:fldChar w:fldCharType="separate"/>
      </w:r>
      <w:r>
        <w:rPr>
          <w:rStyle w:val="11"/>
          <w:rFonts w:hint="eastAsia" w:ascii="仿宋" w:hAnsi="仿宋" w:eastAsia="仿宋" w:cs="Times New Roman"/>
          <w:b w:val="0"/>
          <w:sz w:val="28"/>
          <w:szCs w:val="28"/>
        </w:rPr>
        <w:t>六、效益分析</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5</w:t>
      </w:r>
    </w:p>
    <w:p>
      <w:pPr>
        <w:keepNext w:val="0"/>
        <w:keepLines w:val="0"/>
        <w:pageBreakBefore w:val="0"/>
        <w:kinsoku/>
        <w:wordWrap/>
        <w:overflowPunct/>
        <w:topLinePunct w:val="0"/>
        <w:autoSpaceDE/>
        <w:autoSpaceDN/>
        <w:bidi w:val="0"/>
        <w:adjustRightInd/>
        <w:snapToGrid/>
        <w:spacing w:line="600" w:lineRule="exact"/>
        <w:ind w:firstLine="560" w:firstLineChars="200"/>
        <w:rPr>
          <w:rFonts w:ascii="仿宋" w:hAnsi="仿宋" w:eastAsia="仿宋" w:cs="仿宋"/>
          <w:sz w:val="32"/>
          <w:szCs w:val="32"/>
        </w:rPr>
      </w:pPr>
      <w:r>
        <w:rPr>
          <w:rFonts w:ascii="仿宋" w:hAnsi="仿宋"/>
          <w:bCs/>
          <w:sz w:val="28"/>
          <w:szCs w:val="28"/>
        </w:rPr>
        <w:fldChar w:fldCharType="end"/>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以习近平新时代中国特色社会主义思想为指导，认真贯彻落实全国、全省、全州林业有害生物防治工作会议精神</w:t>
      </w:r>
      <w:r>
        <w:rPr>
          <w:rFonts w:ascii="微软雅黑" w:hAnsi="微软雅黑" w:eastAsia="微软雅黑" w:cs="微软雅黑"/>
          <w:color w:val="000000"/>
          <w:sz w:val="24"/>
          <w:szCs w:val="24"/>
          <w:shd w:val="clear" w:color="auto" w:fill="FFFFFF"/>
        </w:rPr>
        <w:t>，</w:t>
      </w:r>
      <w:r>
        <w:rPr>
          <w:rFonts w:hint="eastAsia" w:ascii="仿宋" w:hAnsi="仿宋" w:eastAsia="仿宋" w:cs="仿宋"/>
          <w:sz w:val="32"/>
          <w:szCs w:val="32"/>
        </w:rPr>
        <w:t>坚持“预防为主、科学防控、依法治理、促进健康”的方针，积极推进森林健康新理念，遏制林业有害生物高发势头为目标，强化体系建设，硬化目标管理，深化改革创新，全面提升林业有害生物防治水平，扎实推进生态文明建设，践行“绿水青山就是金山银山”的保护理念，确保全县森林资源和国土生态安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项目概况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（一）资金来源：《</w:t>
      </w:r>
      <w:r>
        <w:rPr>
          <w:rFonts w:hint="eastAsia" w:ascii="仿宋" w:hAnsi="仿宋" w:eastAsia="仿宋" w:cs="仿宋"/>
          <w:sz w:val="32"/>
          <w:szCs w:val="32"/>
        </w:rPr>
        <w:t>梁河县财政局关于下达2022年中央财政林业改革发展资金的通知》（梁财综〔2022〕45号）,下达林业有害生物治理资金15万元。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shd w:val="clear" w:color="auto" w:fill="FFFFFF"/>
        </w:rPr>
        <w:t>（二）项目名称：</w:t>
      </w:r>
      <w:r>
        <w:rPr>
          <w:rFonts w:hint="eastAsia" w:ascii="仿宋" w:hAnsi="仿宋" w:eastAsia="仿宋" w:cs="仿宋"/>
          <w:sz w:val="32"/>
          <w:szCs w:val="32"/>
        </w:rPr>
        <w:t>梁河县2022年林业有害生物防治建设项目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（三）项目实施单位： 梁河县林业和草原局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（四）项目法人代表：段双宝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shd w:val="clear" w:color="auto" w:fill="FFFFFF"/>
        </w:rPr>
        <w:t>（五）单位地址：</w:t>
      </w:r>
      <w:r>
        <w:rPr>
          <w:rFonts w:hint="eastAsia" w:ascii="仿宋" w:hAnsi="仿宋" w:eastAsia="仿宋" w:cs="仿宋"/>
          <w:sz w:val="32"/>
          <w:szCs w:val="32"/>
        </w:rPr>
        <w:t>梁河县遮岛镇滨河路91号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shd w:val="clear" w:color="auto" w:fill="FFFFFF"/>
        </w:rPr>
        <w:t>（六）</w:t>
      </w:r>
      <w:r>
        <w:rPr>
          <w:rFonts w:hint="eastAsia" w:ascii="仿宋" w:hAnsi="仿宋" w:eastAsia="仿宋" w:cs="仿宋"/>
          <w:sz w:val="32"/>
          <w:szCs w:val="32"/>
        </w:rPr>
        <w:t>项目建设规模及地点：购置有害生物监测</w:t>
      </w:r>
      <w:r>
        <w:rPr>
          <w:rFonts w:hint="eastAsia" w:ascii="仿宋" w:hAnsi="仿宋" w:eastAsia="仿宋" w:cs="仿宋"/>
          <w:color w:val="auto"/>
          <w:sz w:val="32"/>
          <w:szCs w:val="32"/>
        </w:rPr>
        <w:t>设备</w:t>
      </w:r>
      <w:r>
        <w:rPr>
          <w:rFonts w:hint="eastAsia" w:ascii="仿宋" w:hAnsi="仿宋" w:eastAsia="仿宋" w:cs="仿宋"/>
          <w:sz w:val="32"/>
          <w:szCs w:val="32"/>
        </w:rPr>
        <w:t>及防治药物一批，林地、湿地薇甘菊除治250亩，实施地点位于南底河国家湿地公园、勐养镇、九保乡。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仿宋" w:hAnsi="仿宋" w:eastAsia="仿宋" w:cs="仿宋"/>
          <w:sz w:val="32"/>
          <w:szCs w:val="32"/>
        </w:rPr>
        <w:t>（七）项目建设期限：2022年5月—11月</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三、建设内容</w:t>
      </w:r>
    </w:p>
    <w:p>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rPr>
        <w:t>（一）采购有害生物监测</w:t>
      </w:r>
      <w:r>
        <w:rPr>
          <w:rFonts w:hint="eastAsia" w:ascii="仿宋" w:hAnsi="仿宋" w:eastAsia="仿宋" w:cs="仿宋"/>
          <w:sz w:val="32"/>
          <w:szCs w:val="32"/>
          <w:lang w:val="en-US" w:eastAsia="zh-CN"/>
        </w:rPr>
        <w:t>设备</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b/>
          <w:bCs/>
          <w:sz w:val="32"/>
          <w:szCs w:val="32"/>
        </w:rPr>
      </w:pPr>
      <w:r>
        <w:rPr>
          <w:rFonts w:hint="eastAsia" w:ascii="仿宋" w:hAnsi="仿宋" w:eastAsia="仿宋" w:cs="仿宋"/>
          <w:sz w:val="32"/>
          <w:szCs w:val="32"/>
          <w:lang w:val="en-US" w:eastAsia="zh-CN"/>
        </w:rPr>
        <w:t>采</w:t>
      </w:r>
      <w:r>
        <w:rPr>
          <w:rFonts w:hint="eastAsia" w:ascii="仿宋" w:hAnsi="仿宋" w:eastAsia="仿宋" w:cs="仿宋"/>
          <w:sz w:val="32"/>
          <w:szCs w:val="32"/>
        </w:rPr>
        <w:t>购松材线虫病监测专用材料，松墨天牛诱剂540个及诱捕器40个。开展松材线虫病监测和防控工作，专用材料用于在松林区诱捕和收集松墨天牛（媒介昆虫），减少松材线虫病传播途径。</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（二）采购防治药物</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1.购红火蚁防治药物：红火蚁饵剂20件（约100公斤)，用于开展红火蚁防控工作。</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2.购云南松毛虫防治药物：苏云菌杆菌2吨，用于防治云南松毛虫药物储备。</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3.购薇甘菊防治药物：紫薇清(滴酸二氯毗)9件（约135公斤），用于开展林地、湿地薇甘菊防治。</w:t>
      </w:r>
    </w:p>
    <w:p>
      <w:pPr>
        <w:keepNext w:val="0"/>
        <w:keepLines w:val="0"/>
        <w:pageBreakBefore w:val="0"/>
        <w:kinsoku/>
        <w:wordWrap/>
        <w:overflowPunct/>
        <w:topLinePunct w:val="0"/>
        <w:autoSpaceDE/>
        <w:autoSpaceDN/>
        <w:bidi w:val="0"/>
        <w:adjustRightInd/>
        <w:snapToGrid/>
        <w:spacing w:line="600" w:lineRule="exact"/>
        <w:ind w:firstLine="320" w:firstLineChars="100"/>
        <w:rPr>
          <w:rFonts w:ascii="仿宋" w:hAnsi="仿宋" w:eastAsia="仿宋" w:cs="仿宋"/>
          <w:sz w:val="32"/>
          <w:szCs w:val="32"/>
        </w:rPr>
      </w:pPr>
      <w:r>
        <w:rPr>
          <w:rFonts w:hint="eastAsia" w:ascii="仿宋" w:hAnsi="仿宋" w:eastAsia="仿宋" w:cs="仿宋"/>
          <w:sz w:val="32"/>
          <w:szCs w:val="32"/>
        </w:rPr>
        <w:t>（三）薇甘菊除治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auto"/>
          <w:w w:val="100"/>
          <w:sz w:val="32"/>
          <w:szCs w:val="32"/>
        </w:rPr>
      </w:pPr>
      <w:r>
        <w:rPr>
          <w:rFonts w:hint="eastAsia" w:ascii="仿宋" w:hAnsi="仿宋" w:eastAsia="仿宋" w:cs="仿宋"/>
          <w:sz w:val="32"/>
          <w:szCs w:val="32"/>
        </w:rPr>
        <w:t>1.实施林地、湿地薇甘菊除治250亩。其中：勐养镇(含国有林场)100亩，九保乡50亩，</w:t>
      </w:r>
      <w:r>
        <w:rPr>
          <w:rFonts w:hint="eastAsia" w:ascii="仿宋" w:hAnsi="仿宋" w:eastAsia="仿宋" w:cs="仿宋"/>
          <w:w w:val="90"/>
          <w:sz w:val="32"/>
          <w:szCs w:val="32"/>
        </w:rPr>
        <w:t>南底河国家湿地公园100亩</w:t>
      </w:r>
      <w:r>
        <w:rPr>
          <w:rFonts w:hint="eastAsia" w:ascii="仿宋" w:hAnsi="仿宋" w:eastAsia="仿宋" w:cs="仿宋"/>
          <w:color w:val="auto"/>
          <w:w w:val="100"/>
          <w:sz w:val="32"/>
          <w:szCs w:val="32"/>
        </w:rPr>
        <w:t>(按照薇甘菊除治三年防治计划，对2021年防治点开展连续防治，巩固防治成效)。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2.除治方式：人工铲除为主，化学防治为辅的防治方式。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3.除治时间:2022年10-11月。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仿宋" w:hAnsi="仿宋" w:eastAsia="仿宋" w:cs="仿宋"/>
          <w:sz w:val="32"/>
          <w:szCs w:val="32"/>
        </w:rPr>
        <w:t>4.除治标准：单位面积薇甘菊残存率≤10%，攀援率为0，覆盖度≤5%；复发率≤10%，未发现漏防情况。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四、建设投资</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项目建设总投资15.13万元，其中：2022年中央财政林业改革发展资金15万元，建设单位自筹0.13万元，具体</w:t>
      </w:r>
      <w:r>
        <w:rPr>
          <w:rFonts w:hint="eastAsia" w:ascii="仿宋" w:hAnsi="仿宋" w:eastAsia="仿宋" w:cs="仿宋"/>
          <w:color w:val="auto"/>
          <w:sz w:val="32"/>
          <w:szCs w:val="32"/>
          <w:lang w:eastAsia="zh-CN"/>
        </w:rPr>
        <w:t>详</w:t>
      </w:r>
      <w:r>
        <w:rPr>
          <w:rFonts w:hint="eastAsia" w:ascii="仿宋" w:hAnsi="仿宋" w:eastAsia="仿宋" w:cs="仿宋"/>
          <w:sz w:val="32"/>
          <w:szCs w:val="32"/>
        </w:rPr>
        <w:t>见投资计划表：</w:t>
      </w:r>
    </w:p>
    <w:tbl>
      <w:tblPr>
        <w:tblStyle w:val="9"/>
        <w:tblW w:w="9555" w:type="dxa"/>
        <w:tblInd w:w="-504" w:type="dxa"/>
        <w:tblLayout w:type="fixed"/>
        <w:tblCellMar>
          <w:top w:w="0" w:type="dxa"/>
          <w:left w:w="0" w:type="dxa"/>
          <w:bottom w:w="0" w:type="dxa"/>
          <w:right w:w="0" w:type="dxa"/>
        </w:tblCellMar>
      </w:tblPr>
      <w:tblGrid>
        <w:gridCol w:w="3555"/>
        <w:gridCol w:w="900"/>
        <w:gridCol w:w="855"/>
        <w:gridCol w:w="1320"/>
        <w:gridCol w:w="1485"/>
        <w:gridCol w:w="1440"/>
      </w:tblGrid>
      <w:tr>
        <w:tblPrEx>
          <w:tblCellMar>
            <w:top w:w="0" w:type="dxa"/>
            <w:left w:w="0" w:type="dxa"/>
            <w:bottom w:w="0" w:type="dxa"/>
            <w:right w:w="0" w:type="dxa"/>
          </w:tblCellMar>
        </w:tblPrEx>
        <w:trPr>
          <w:trHeight w:val="720" w:hRule="atLeast"/>
        </w:trPr>
        <w:tc>
          <w:tcPr>
            <w:tcW w:w="955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color w:val="000000"/>
                <w:sz w:val="32"/>
                <w:szCs w:val="32"/>
              </w:rPr>
            </w:pPr>
            <w:r>
              <w:rPr>
                <w:rFonts w:hint="eastAsia" w:ascii="仿宋" w:hAnsi="仿宋" w:eastAsia="仿宋" w:cs="仿宋"/>
                <w:b/>
                <w:color w:val="000000"/>
                <w:kern w:val="0"/>
                <w:sz w:val="32"/>
                <w:szCs w:val="32"/>
              </w:rPr>
              <w:t>投资计划表</w:t>
            </w: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建设内容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单价（元）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小计（元）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备注</w:t>
            </w: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一、松材线虫病监测专用材料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1.松墨天牛诱剂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2.诱捕器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4800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二、采购防治药物</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1.红火蚁饵剂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5公斤/件</w:t>
            </w: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2.苏云菌杆菌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7500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3.紫薇清(滴酸二氯毗)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31500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15公斤/件</w:t>
            </w: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三、林地、湿地薇甘菊除治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1.勐养镇(含国有林场)</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工时费</w:t>
            </w: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2.九保乡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工时费</w:t>
            </w: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3.南底河国家湿地公园</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工时费</w:t>
            </w:r>
          </w:p>
        </w:tc>
      </w:tr>
      <w:tr>
        <w:tblPrEx>
          <w:tblCellMar>
            <w:top w:w="0" w:type="dxa"/>
            <w:left w:w="0" w:type="dxa"/>
            <w:bottom w:w="0" w:type="dxa"/>
            <w:right w:w="0" w:type="dxa"/>
          </w:tblCellMar>
        </w:tblPrEx>
        <w:trPr>
          <w:trHeight w:val="700"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151300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p>
        </w:tc>
      </w:tr>
    </w:tbl>
    <w:p>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五、组织管理</w:t>
      </w:r>
    </w:p>
    <w:p>
      <w:pPr>
        <w:keepNext w:val="0"/>
        <w:keepLines w:val="0"/>
        <w:pageBreakBefore w:val="0"/>
        <w:kinsoku/>
        <w:wordWrap/>
        <w:overflowPunct/>
        <w:topLinePunct w:val="0"/>
        <w:autoSpaceDE/>
        <w:autoSpaceDN/>
        <w:bidi w:val="0"/>
        <w:adjustRightInd/>
        <w:snapToGrid/>
        <w:spacing w:line="600" w:lineRule="exact"/>
        <w:ind w:firstLine="320" w:firstLineChars="100"/>
        <w:rPr>
          <w:rFonts w:ascii="仿宋" w:hAnsi="仿宋" w:eastAsia="仿宋" w:cs="仿宋"/>
          <w:sz w:val="32"/>
          <w:szCs w:val="32"/>
        </w:rPr>
      </w:pPr>
      <w:r>
        <w:rPr>
          <w:rFonts w:hint="eastAsia" w:ascii="仿宋" w:hAnsi="仿宋" w:eastAsia="仿宋" w:cs="仿宋"/>
          <w:sz w:val="32"/>
          <w:szCs w:val="32"/>
        </w:rPr>
        <w:t>（一）加强组织领导</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为加快推进梁河县2022年林业有害生物防治建设项目，切实发挥项目资金效益，建立健全责任机制，确保建设项目按时、按质顺利实施，经县林草局研究决定，成立项目实施领导小组：</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组  长：段双宝  县林草局局长</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副组长：杨世富  县林草局副局长</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成  员：曹加兴  有害生物检疫防治股股长</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姚年昌  项目办主任</w:t>
      </w:r>
    </w:p>
    <w:p>
      <w:pPr>
        <w:keepNext w:val="0"/>
        <w:keepLines w:val="0"/>
        <w:pageBreakBefore w:val="0"/>
        <w:kinsoku/>
        <w:wordWrap/>
        <w:overflowPunct/>
        <w:topLinePunct w:val="0"/>
        <w:autoSpaceDE/>
        <w:autoSpaceDN/>
        <w:bidi w:val="0"/>
        <w:adjustRightInd/>
        <w:snapToGrid/>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何明垄  财务室负责人</w:t>
      </w:r>
    </w:p>
    <w:p>
      <w:pPr>
        <w:keepNext w:val="0"/>
        <w:keepLines w:val="0"/>
        <w:pageBreakBefore w:val="0"/>
        <w:kinsoku/>
        <w:wordWrap/>
        <w:overflowPunct/>
        <w:topLinePunct w:val="0"/>
        <w:autoSpaceDE/>
        <w:autoSpaceDN/>
        <w:bidi w:val="0"/>
        <w:adjustRightInd/>
        <w:snapToGrid/>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尹兴竹  项目办副主任</w:t>
      </w:r>
    </w:p>
    <w:p>
      <w:pPr>
        <w:keepNext w:val="0"/>
        <w:keepLines w:val="0"/>
        <w:pageBreakBefore w:val="0"/>
        <w:kinsoku/>
        <w:wordWrap/>
        <w:overflowPunct/>
        <w:topLinePunct w:val="0"/>
        <w:autoSpaceDE/>
        <w:autoSpaceDN/>
        <w:bidi w:val="0"/>
        <w:adjustRightInd/>
        <w:snapToGrid/>
        <w:spacing w:line="600" w:lineRule="exact"/>
        <w:ind w:firstLine="1920" w:firstLineChars="600"/>
      </w:pPr>
      <w:r>
        <w:rPr>
          <w:rFonts w:hint="eastAsia" w:ascii="仿宋" w:hAnsi="仿宋" w:eastAsia="仿宋" w:cs="仿宋"/>
          <w:sz w:val="32"/>
          <w:szCs w:val="32"/>
        </w:rPr>
        <w:t>邓留芳  有害生物检疫防治股工作人员</w:t>
      </w:r>
    </w:p>
    <w:p>
      <w:pPr>
        <w:keepNext w:val="0"/>
        <w:keepLines w:val="0"/>
        <w:pageBreakBefore w:val="0"/>
        <w:kinsoku/>
        <w:wordWrap/>
        <w:overflowPunct/>
        <w:topLinePunct w:val="0"/>
        <w:autoSpaceDE/>
        <w:autoSpaceDN/>
        <w:bidi w:val="0"/>
        <w:adjustRightInd/>
        <w:snapToGrid/>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张彦愉  项目办工作人员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default"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唐永乐  国有林场场长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孔连才  勐养镇林业站站长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邵正波  九保乡林业站站长</w:t>
      </w:r>
    </w:p>
    <w:p>
      <w:pPr>
        <w:pStyle w:val="5"/>
        <w:keepNext w:val="0"/>
        <w:keepLines w:val="0"/>
        <w:pageBreakBefore w:val="0"/>
        <w:tabs>
          <w:tab w:val="left" w:pos="2122"/>
        </w:tabs>
        <w:kinsoku/>
        <w:wordWrap/>
        <w:overflowPunct/>
        <w:topLinePunct w:val="0"/>
        <w:autoSpaceDE/>
        <w:autoSpaceDN/>
        <w:bidi w:val="0"/>
        <w:adjustRightInd/>
        <w:snapToGrid/>
        <w:spacing w:line="600" w:lineRule="exact"/>
        <w:ind w:firstLine="1920" w:firstLineChars="600"/>
      </w:pPr>
      <w:r>
        <w:rPr>
          <w:rFonts w:hint="eastAsia" w:ascii="仿宋" w:hAnsi="仿宋" w:eastAsia="仿宋" w:cs="仿宋"/>
          <w:color w:val="auto"/>
          <w:sz w:val="32"/>
          <w:szCs w:val="32"/>
          <w:lang w:eastAsia="zh-CN"/>
        </w:rPr>
        <w:t>康昌良</w:t>
      </w:r>
      <w:r>
        <w:rPr>
          <w:rFonts w:hint="eastAsia" w:ascii="仿宋" w:hAnsi="仿宋" w:eastAsia="仿宋" w:cs="仿宋"/>
          <w:color w:val="auto"/>
          <w:sz w:val="32"/>
          <w:szCs w:val="32"/>
          <w:lang w:val="en-US" w:eastAsia="zh-CN"/>
        </w:rPr>
        <w:t xml:space="preserve">  南底河国家湿地公园管理所所长</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领导小组下设办公室于局项目办，办公室主任由杨世富同志兼任，副主任由曹加兴、姚年昌同志兼任，具体负责项目实施的监督及组织管理、并处理日常事务。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（二）项目资金管理</w:t>
      </w:r>
    </w:p>
    <w:p>
      <w:pPr>
        <w:keepNext w:val="0"/>
        <w:keepLines w:val="0"/>
        <w:pageBreakBefore w:val="0"/>
        <w:kinsoku/>
        <w:wordWrap/>
        <w:overflowPunct/>
        <w:topLinePunct w:val="0"/>
        <w:autoSpaceDE/>
        <w:autoSpaceDN/>
        <w:bidi w:val="0"/>
        <w:adjustRightInd/>
        <w:snapToGrid/>
        <w:spacing w:line="600" w:lineRule="exact"/>
        <w:ind w:firstLine="640" w:firstLineChars="200"/>
      </w:pPr>
      <w:r>
        <w:rPr>
          <w:rFonts w:hint="eastAsia" w:ascii="仿宋" w:hAnsi="仿宋" w:eastAsia="仿宋" w:cs="仿宋"/>
          <w:sz w:val="32"/>
          <w:szCs w:val="32"/>
        </w:rPr>
        <w:t>加强项目资金管理，严格按财政专项资金管理的各项规定执行，严格实行报账制度，专款专用，项目资金使用按要求进行公开、公示，接受广大干部群众的监督。</w:t>
      </w:r>
    </w:p>
    <w:p>
      <w:pPr>
        <w:keepNext w:val="0"/>
        <w:keepLines w:val="0"/>
        <w:pageBreakBefore w:val="0"/>
        <w:kinsoku/>
        <w:wordWrap/>
        <w:overflowPunct/>
        <w:topLinePunct w:val="0"/>
        <w:autoSpaceDE/>
        <w:autoSpaceDN/>
        <w:bidi w:val="0"/>
        <w:adjustRightInd/>
        <w:snapToGrid/>
        <w:spacing w:line="600" w:lineRule="exact"/>
        <w:ind w:firstLine="645"/>
        <w:rPr>
          <w:rFonts w:ascii="仿宋" w:hAnsi="仿宋" w:eastAsia="仿宋" w:cs="仿宋"/>
          <w:sz w:val="32"/>
          <w:szCs w:val="32"/>
        </w:rPr>
      </w:pPr>
      <w:r>
        <w:rPr>
          <w:rFonts w:hint="eastAsia" w:ascii="仿宋" w:hAnsi="仿宋" w:eastAsia="仿宋" w:cs="仿宋"/>
          <w:sz w:val="32"/>
          <w:szCs w:val="32"/>
        </w:rPr>
        <w:t>（三）项目档案管理</w:t>
      </w:r>
    </w:p>
    <w:p>
      <w:pPr>
        <w:pStyle w:val="13"/>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安排专人负责项目档案的收集、整理、归类、保管等工作。同时，按照项目建设档案管理的规定，保管好项目建设全过程的文件、文本、方案、图片、合同、验收、总结等材料，装订成册，建立卷宗，符合竣工验收条件，做到一个项目一套档案。</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5"/>
        <w:rPr>
          <w:rFonts w:ascii="仿宋" w:hAnsi="仿宋" w:eastAsia="仿宋" w:cs="仿宋"/>
          <w:sz w:val="32"/>
          <w:szCs w:val="32"/>
        </w:rPr>
      </w:pPr>
      <w:r>
        <w:rPr>
          <w:rFonts w:hint="eastAsia" w:ascii="仿宋" w:hAnsi="仿宋" w:eastAsia="仿宋" w:cs="仿宋"/>
          <w:sz w:val="32"/>
          <w:szCs w:val="32"/>
        </w:rPr>
        <w:t>资金支付</w:t>
      </w:r>
    </w:p>
    <w:p>
      <w:pPr>
        <w:keepNext w:val="0"/>
        <w:keepLines w:val="0"/>
        <w:pageBreakBefore w:val="0"/>
        <w:kinsoku/>
        <w:wordWrap/>
        <w:overflowPunct/>
        <w:topLinePunct w:val="0"/>
        <w:autoSpaceDE/>
        <w:autoSpaceDN/>
        <w:bidi w:val="0"/>
        <w:adjustRightInd/>
        <w:snapToGrid/>
        <w:spacing w:line="600" w:lineRule="exact"/>
        <w:ind w:firstLine="645"/>
        <w:rPr>
          <w:rFonts w:hint="eastAsia" w:ascii="仿宋" w:hAnsi="仿宋" w:eastAsia="仿宋" w:cs="仿宋"/>
          <w:sz w:val="32"/>
          <w:szCs w:val="32"/>
        </w:rPr>
      </w:pPr>
      <w:r>
        <w:rPr>
          <w:rFonts w:hint="eastAsia" w:ascii="仿宋" w:hAnsi="仿宋" w:eastAsia="仿宋" w:cs="仿宋"/>
          <w:sz w:val="32"/>
          <w:szCs w:val="32"/>
        </w:rPr>
        <w:t>按照局财务管理制度要求，资金到账后，按照项目建设程序报批后支付，并监督完善相关报账手续。</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645" w:leftChars="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项目验收</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eastAsia="仿宋"/>
          <w:lang w:eastAsia="zh-CN"/>
        </w:rPr>
      </w:pPr>
      <w:r>
        <w:rPr>
          <w:rFonts w:hint="eastAsia" w:ascii="仿宋" w:hAnsi="仿宋" w:eastAsia="仿宋" w:cs="仿宋"/>
          <w:sz w:val="32"/>
          <w:szCs w:val="32"/>
          <w:lang w:val="en-US" w:eastAsia="zh-CN"/>
        </w:rPr>
        <w:t>按照国家、省、州、县财政专项扶贫资金管理办法、财政衔接推进乡村振兴补助资金管理办法和项目建设相关规定，项目完工后，及时组织开展项目初步验收并做好审计结算工作，最终报请县人民政府竣工验收。</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六、效益分析</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（一）经济效益。项目实施后，受益群众220户650人，覆盖林地、湿地面积2万亩，涉及用材林1.5万亩，使森林质量得到提升、湿地得到保护，林木价值得到提高，增加林农采伐收入。</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社会效益。项目实施后，林业有害生物监测设施及防控能力得到加强，加大防灾减灾药物储备，增强有害生物灾害应急能力，辖区内林地、湿地薇甘菊危害得到有效控制，危害程度减轻，危害面积明显减少。</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（三）生态效益。项目实施后，可提升有害生物防治能力，有利于保持森林生态系统的完整性和连续性，使区域内各类资源按自然规律演替、发展，发挥最大的生态功能。</w:t>
      </w:r>
    </w:p>
    <w:p>
      <w:pPr>
        <w:keepNext w:val="0"/>
        <w:keepLines w:val="0"/>
        <w:pageBreakBefore w:val="0"/>
        <w:kinsoku/>
        <w:wordWrap/>
        <w:overflowPunct/>
        <w:topLinePunct w:val="0"/>
        <w:autoSpaceDE/>
        <w:autoSpaceDN/>
        <w:bidi w:val="0"/>
        <w:adjustRightInd/>
        <w:snapToGrid/>
        <w:spacing w:line="600" w:lineRule="exact"/>
        <w:ind w:firstLine="4480" w:firstLineChars="140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4480" w:firstLineChars="140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4480" w:firstLineChars="140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4480" w:firstLineChars="1400"/>
        <w:rPr>
          <w:rFonts w:ascii="仿宋" w:hAnsi="仿宋" w:eastAsia="仿宋" w:cs="仿宋"/>
          <w:sz w:val="32"/>
          <w:szCs w:val="32"/>
        </w:rPr>
      </w:pPr>
      <w:bookmarkStart w:id="0" w:name="_GoBack"/>
      <w:bookmarkEnd w:id="0"/>
      <w:r>
        <w:rPr>
          <w:rFonts w:hint="eastAsia" w:ascii="仿宋" w:hAnsi="仿宋" w:eastAsia="仿宋" w:cs="仿宋"/>
          <w:sz w:val="32"/>
          <w:szCs w:val="32"/>
        </w:rPr>
        <w:t>梁河县林业和草原局</w:t>
      </w:r>
    </w:p>
    <w:p>
      <w:pPr>
        <w:keepNext w:val="0"/>
        <w:keepLines w:val="0"/>
        <w:pageBreakBefore w:val="0"/>
        <w:kinsoku/>
        <w:wordWrap/>
        <w:overflowPunct/>
        <w:topLinePunct w:val="0"/>
        <w:autoSpaceDE/>
        <w:autoSpaceDN/>
        <w:bidi w:val="0"/>
        <w:adjustRightInd/>
        <w:snapToGrid/>
        <w:spacing w:line="600" w:lineRule="exact"/>
        <w:ind w:firstLine="4800" w:firstLineChars="1500"/>
        <w:rPr>
          <w:rFonts w:ascii="仿宋" w:hAnsi="仿宋" w:eastAsia="仿宋" w:cs="仿宋"/>
          <w:sz w:val="32"/>
          <w:szCs w:val="32"/>
        </w:rPr>
      </w:pPr>
      <w:r>
        <w:rPr>
          <w:rFonts w:hint="eastAsia" w:ascii="仿宋" w:hAnsi="仿宋" w:eastAsia="仿宋" w:cs="仿宋"/>
          <w:sz w:val="32"/>
          <w:szCs w:val="32"/>
        </w:rPr>
        <w:t>2022年5月16日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6"/>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29E64"/>
    <w:multiLevelType w:val="singleLevel"/>
    <w:tmpl w:val="3F329E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mOGE0YTBiNjYzZDUyYjY2ZmVkNGZjMDlhZjVhODUifQ=="/>
  </w:docVars>
  <w:rsids>
    <w:rsidRoot w:val="00B37D13"/>
    <w:rsid w:val="00440302"/>
    <w:rsid w:val="005D2413"/>
    <w:rsid w:val="007E4225"/>
    <w:rsid w:val="00B37D13"/>
    <w:rsid w:val="00EA2D26"/>
    <w:rsid w:val="00F02E5D"/>
    <w:rsid w:val="033C6DA9"/>
    <w:rsid w:val="04C100F1"/>
    <w:rsid w:val="05AB7BBE"/>
    <w:rsid w:val="05C775CF"/>
    <w:rsid w:val="065748ED"/>
    <w:rsid w:val="07716230"/>
    <w:rsid w:val="084500B2"/>
    <w:rsid w:val="09592CE8"/>
    <w:rsid w:val="0A897EBF"/>
    <w:rsid w:val="0BD87233"/>
    <w:rsid w:val="0D116EA1"/>
    <w:rsid w:val="0DA225E0"/>
    <w:rsid w:val="121216F1"/>
    <w:rsid w:val="132851F5"/>
    <w:rsid w:val="13F82669"/>
    <w:rsid w:val="17092060"/>
    <w:rsid w:val="18C91205"/>
    <w:rsid w:val="18D47700"/>
    <w:rsid w:val="19E262FC"/>
    <w:rsid w:val="1B4051C8"/>
    <w:rsid w:val="1E6B7530"/>
    <w:rsid w:val="21FE5315"/>
    <w:rsid w:val="22B81E40"/>
    <w:rsid w:val="23341DCC"/>
    <w:rsid w:val="24993465"/>
    <w:rsid w:val="250550E5"/>
    <w:rsid w:val="25754019"/>
    <w:rsid w:val="26CF7F37"/>
    <w:rsid w:val="27092108"/>
    <w:rsid w:val="28E374EB"/>
    <w:rsid w:val="2964570A"/>
    <w:rsid w:val="2A684354"/>
    <w:rsid w:val="2AA30015"/>
    <w:rsid w:val="2B7E30F3"/>
    <w:rsid w:val="2BE03AFA"/>
    <w:rsid w:val="2D7B23E8"/>
    <w:rsid w:val="2DEC23DB"/>
    <w:rsid w:val="2F267367"/>
    <w:rsid w:val="30EE096E"/>
    <w:rsid w:val="310115A7"/>
    <w:rsid w:val="32361BEB"/>
    <w:rsid w:val="338D077F"/>
    <w:rsid w:val="34C44FE3"/>
    <w:rsid w:val="37CF7E4A"/>
    <w:rsid w:val="3A513987"/>
    <w:rsid w:val="3AD43F43"/>
    <w:rsid w:val="3B043A1D"/>
    <w:rsid w:val="3C0151D9"/>
    <w:rsid w:val="3DAC3EF8"/>
    <w:rsid w:val="3E990920"/>
    <w:rsid w:val="3EAA79FA"/>
    <w:rsid w:val="411249BA"/>
    <w:rsid w:val="41FB2863"/>
    <w:rsid w:val="42A15D9F"/>
    <w:rsid w:val="44501A81"/>
    <w:rsid w:val="44703ED1"/>
    <w:rsid w:val="44EE129A"/>
    <w:rsid w:val="49001328"/>
    <w:rsid w:val="4B6E74ED"/>
    <w:rsid w:val="4CA51888"/>
    <w:rsid w:val="4CAC071C"/>
    <w:rsid w:val="4D31657A"/>
    <w:rsid w:val="4DCF61C8"/>
    <w:rsid w:val="4DF75C84"/>
    <w:rsid w:val="4E444E43"/>
    <w:rsid w:val="4ED24A62"/>
    <w:rsid w:val="4F493C9D"/>
    <w:rsid w:val="521A3408"/>
    <w:rsid w:val="52F05499"/>
    <w:rsid w:val="55381ED8"/>
    <w:rsid w:val="56625644"/>
    <w:rsid w:val="574216FD"/>
    <w:rsid w:val="57F318FE"/>
    <w:rsid w:val="58481ACF"/>
    <w:rsid w:val="5A736EDD"/>
    <w:rsid w:val="5B4E1ACF"/>
    <w:rsid w:val="5BBC5DBF"/>
    <w:rsid w:val="5C8127D3"/>
    <w:rsid w:val="5D2765FE"/>
    <w:rsid w:val="5DAD53F7"/>
    <w:rsid w:val="5EB85F08"/>
    <w:rsid w:val="5EBA76E5"/>
    <w:rsid w:val="5F6A3E19"/>
    <w:rsid w:val="611F660B"/>
    <w:rsid w:val="613C2D26"/>
    <w:rsid w:val="61E17D65"/>
    <w:rsid w:val="62184885"/>
    <w:rsid w:val="628B1CFD"/>
    <w:rsid w:val="651E4B62"/>
    <w:rsid w:val="65F839B8"/>
    <w:rsid w:val="663568D1"/>
    <w:rsid w:val="6681254C"/>
    <w:rsid w:val="67AB6E7B"/>
    <w:rsid w:val="68655540"/>
    <w:rsid w:val="694E2184"/>
    <w:rsid w:val="6A140FB8"/>
    <w:rsid w:val="6CC24780"/>
    <w:rsid w:val="6DCC77AF"/>
    <w:rsid w:val="6DD24A05"/>
    <w:rsid w:val="6FB446AB"/>
    <w:rsid w:val="6FD206E6"/>
    <w:rsid w:val="705167D3"/>
    <w:rsid w:val="72936E59"/>
    <w:rsid w:val="74CE62C5"/>
    <w:rsid w:val="752C70F1"/>
    <w:rsid w:val="76D56C3B"/>
    <w:rsid w:val="76DA32A9"/>
    <w:rsid w:val="79602267"/>
    <w:rsid w:val="79E24222"/>
    <w:rsid w:val="7A676C45"/>
    <w:rsid w:val="7B6B01B8"/>
    <w:rsid w:val="7C2B7EC7"/>
    <w:rsid w:val="7C66113B"/>
    <w:rsid w:val="7CF52C67"/>
    <w:rsid w:val="7F4A08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Body Text"/>
    <w:basedOn w:val="1"/>
    <w:qFormat/>
    <w:uiPriority w:val="1"/>
    <w:pPr>
      <w:spacing w:after="120"/>
      <w:ind w:firstLine="200" w:firstLineChars="200"/>
    </w:pPr>
    <w:rPr>
      <w:rFonts w:ascii="Times New Roman" w:hAnsi="Times New Roman" w:eastAsia="方正仿宋_GBK"/>
      <w:sz w:val="30"/>
      <w:szCs w:val="20"/>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tabs>
        <w:tab w:val="left" w:pos="1120"/>
        <w:tab w:val="right" w:leader="dot" w:pos="8296"/>
      </w:tabs>
      <w:spacing w:before="120" w:after="120"/>
    </w:pPr>
    <w:rPr>
      <w:rFonts w:eastAsiaTheme="minorHAnsi"/>
      <w:b/>
      <w:bCs/>
      <w:caps/>
      <w:sz w:val="20"/>
      <w:szCs w:val="20"/>
    </w:rPr>
  </w:style>
  <w:style w:type="character" w:styleId="11">
    <w:name w:val="Hyperlink"/>
    <w:basedOn w:val="10"/>
    <w:unhideWhenUsed/>
    <w:qFormat/>
    <w:uiPriority w:val="99"/>
    <w:rPr>
      <w:color w:val="0000FF" w:themeColor="hyperlink"/>
      <w:u w:val="single"/>
    </w:rPr>
  </w:style>
  <w:style w:type="paragraph" w:customStyle="1" w:styleId="12">
    <w:name w:val="*正文"/>
    <w:basedOn w:val="1"/>
    <w:qFormat/>
    <w:uiPriority w:val="0"/>
    <w:rPr>
      <w:rFonts w:ascii="宋体" w:hAnsi="宋体" w:eastAsia="仿宋" w:cs="Times New Roman"/>
      <w:kern w:val="0"/>
      <w:sz w:val="24"/>
      <w:szCs w:val="20"/>
      <w:shd w:val="clear" w:color="auto" w:fill="FFFFFF"/>
    </w:rPr>
  </w:style>
  <w:style w:type="paragraph" w:styleId="13">
    <w:name w:val="List Paragraph"/>
    <w:basedOn w:val="1"/>
    <w:qFormat/>
    <w:uiPriority w:val="34"/>
    <w:pPr>
      <w:ind w:firstLine="420"/>
    </w:pPr>
  </w:style>
  <w:style w:type="paragraph" w:customStyle="1" w:styleId="14">
    <w:name w:val="正文缩进1"/>
    <w:basedOn w:val="1"/>
    <w:qFormat/>
    <w:uiPriority w:val="0"/>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2231</Words>
  <Characters>2393</Characters>
  <Lines>19</Lines>
  <Paragraphs>5</Paragraphs>
  <TotalTime>6</TotalTime>
  <ScaleCrop>false</ScaleCrop>
  <LinksUpToDate>false</LinksUpToDate>
  <CharactersWithSpaces>2475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2022-02-21T09:07:00Z</dcterms:created>
  <dc:creator>DELL</dc:creator>
  <cp:lastModifiedBy>Administrator</cp:lastModifiedBy>
  <cp:lastPrinted>2022-04-02T02:08:00Z</cp:lastPrinted>
  <dcterms:modified xsi:type="dcterms:W3CDTF">2022-05-26T03:44:24Z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3ABC04B2708B4C4FAE40F140E2782E3F</vt:lpwstr>
  </property>
</Properties>
</file>